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textAlignment w:val="baseline"/>
        <w:rPr>
          <w:color w:val="000000"/>
          <w:sz w:val="44"/>
          <w:szCs w:val="44"/>
        </w:rPr>
      </w:pPr>
    </w:p>
    <w:p>
      <w:pPr>
        <w:spacing w:line="460" w:lineRule="exact"/>
        <w:jc w:val="center"/>
        <w:textAlignment w:val="baseline"/>
        <w:rPr>
          <w:color w:val="000000"/>
          <w:sz w:val="44"/>
          <w:szCs w:val="44"/>
        </w:rPr>
      </w:pPr>
    </w:p>
    <w:p>
      <w:pPr>
        <w:spacing w:line="460" w:lineRule="exact"/>
        <w:jc w:val="center"/>
        <w:textAlignment w:val="baseline"/>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1200" w:lineRule="exact"/>
        <w:jc w:val="center"/>
        <w:textAlignment w:val="baseline"/>
        <w:outlineLvl w:val="9"/>
        <w:rPr>
          <w:rFonts w:hint="eastAsia" w:ascii="方正小标宋简体" w:hAnsi="方正小标宋简体" w:eastAsia="方正小标宋简体" w:cs="方正小标宋简体"/>
          <w:color w:val="000000"/>
          <w:sz w:val="84"/>
          <w:szCs w:val="84"/>
          <w:lang w:val="en-US" w:eastAsia="zh-CN"/>
        </w:rPr>
      </w:pPr>
      <w:r>
        <w:rPr>
          <w:rFonts w:hint="eastAsia" w:ascii="方正小标宋简体" w:hAnsi="方正小标宋简体" w:eastAsia="方正小标宋简体" w:cs="方正小标宋简体"/>
          <w:color w:val="000000"/>
          <w:sz w:val="84"/>
          <w:szCs w:val="84"/>
          <w:lang w:val="en-US" w:eastAsia="zh-CN"/>
        </w:rPr>
        <w:t>馆陶县农村集体资产</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baseline"/>
        <w:outlineLvl w:val="9"/>
        <w:rPr>
          <w:rFonts w:hint="eastAsia" w:ascii="方正小标宋简体" w:hAnsi="方正小标宋简体" w:eastAsia="方正小标宋简体" w:cs="方正小标宋简体"/>
          <w:color w:val="000000"/>
          <w:sz w:val="84"/>
          <w:szCs w:val="84"/>
          <w:lang w:val="en-US" w:eastAsia="zh-CN"/>
        </w:rPr>
      </w:pPr>
      <w:r>
        <w:rPr>
          <w:rFonts w:hint="eastAsia" w:ascii="方正小标宋简体" w:hAnsi="方正小标宋简体" w:eastAsia="方正小标宋简体" w:cs="方正小标宋简体"/>
          <w:color w:val="000000"/>
          <w:sz w:val="84"/>
          <w:szCs w:val="84"/>
          <w:lang w:val="en-US" w:eastAsia="zh-CN"/>
        </w:rPr>
        <w:t>清产核资</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baseline"/>
        <w:outlineLvl w:val="9"/>
        <w:rPr>
          <w:rFonts w:hint="eastAsia" w:ascii="黑体" w:hAnsi="黑体" w:eastAsia="黑体" w:cs="黑体"/>
          <w:b/>
          <w:bCs/>
          <w:color w:val="000000"/>
          <w:sz w:val="84"/>
          <w:szCs w:val="84"/>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jc w:val="center"/>
        <w:textAlignment w:val="baseline"/>
        <w:outlineLvl w:val="9"/>
        <w:rPr>
          <w:rFonts w:hint="eastAsia" w:ascii="方正小标宋简体" w:hAnsi="方正小标宋简体" w:eastAsia="方正小标宋简体" w:cs="方正小标宋简体"/>
          <w:color w:val="000000"/>
          <w:sz w:val="84"/>
          <w:szCs w:val="84"/>
          <w:lang w:val="en-US" w:eastAsia="zh-CN"/>
        </w:rPr>
      </w:pPr>
      <w:r>
        <w:rPr>
          <w:rFonts w:hint="eastAsia" w:ascii="方正小标宋简体" w:hAnsi="方正小标宋简体" w:eastAsia="方正小标宋简体" w:cs="方正小标宋简体"/>
          <w:color w:val="000000"/>
          <w:sz w:val="84"/>
          <w:szCs w:val="84"/>
          <w:lang w:val="en-US" w:eastAsia="zh-CN"/>
        </w:rPr>
        <w:t>指</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baseline"/>
        <w:outlineLvl w:val="9"/>
        <w:rPr>
          <w:rFonts w:hint="eastAsia" w:ascii="方正小标宋简体" w:hAnsi="方正小标宋简体" w:eastAsia="方正小标宋简体" w:cs="方正小标宋简体"/>
          <w:color w:val="000000"/>
          <w:sz w:val="84"/>
          <w:szCs w:val="84"/>
          <w:lang w:val="en-US" w:eastAsia="zh-CN"/>
        </w:rPr>
      </w:pPr>
      <w:r>
        <w:rPr>
          <w:rFonts w:hint="eastAsia" w:ascii="方正小标宋简体" w:hAnsi="方正小标宋简体" w:eastAsia="方正小标宋简体" w:cs="方正小标宋简体"/>
          <w:color w:val="000000"/>
          <w:sz w:val="84"/>
          <w:szCs w:val="84"/>
          <w:lang w:val="en-US" w:eastAsia="zh-CN"/>
        </w:rPr>
        <w:t>导</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baseline"/>
        <w:outlineLvl w:val="9"/>
        <w:rPr>
          <w:rFonts w:hint="eastAsia" w:ascii="方正小标宋简体" w:hAnsi="方正小标宋简体" w:eastAsia="方正小标宋简体" w:cs="方正小标宋简体"/>
          <w:color w:val="000000"/>
          <w:sz w:val="84"/>
          <w:szCs w:val="84"/>
          <w:lang w:val="en-US" w:eastAsia="zh-CN"/>
        </w:rPr>
      </w:pPr>
      <w:r>
        <w:rPr>
          <w:rFonts w:hint="eastAsia" w:ascii="方正小标宋简体" w:hAnsi="方正小标宋简体" w:eastAsia="方正小标宋简体" w:cs="方正小标宋简体"/>
          <w:color w:val="000000"/>
          <w:sz w:val="84"/>
          <w:szCs w:val="84"/>
          <w:lang w:val="en-US" w:eastAsia="zh-CN"/>
        </w:rPr>
        <w:t>手</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baseline"/>
        <w:outlineLvl w:val="9"/>
        <w:rPr>
          <w:rFonts w:hint="eastAsia" w:ascii="方正小标宋简体" w:hAnsi="方正小标宋简体" w:eastAsia="方正小标宋简体" w:cs="方正小标宋简体"/>
          <w:color w:val="000000"/>
          <w:sz w:val="84"/>
          <w:szCs w:val="84"/>
          <w:lang w:val="en-US" w:eastAsia="zh-CN"/>
        </w:rPr>
      </w:pPr>
      <w:r>
        <w:rPr>
          <w:rFonts w:hint="eastAsia" w:ascii="方正小标宋简体" w:hAnsi="方正小标宋简体" w:eastAsia="方正小标宋简体" w:cs="方正小标宋简体"/>
          <w:color w:val="000000"/>
          <w:sz w:val="84"/>
          <w:szCs w:val="84"/>
          <w:lang w:val="en-US" w:eastAsia="zh-CN"/>
        </w:rPr>
        <w:t>册</w:t>
      </w:r>
    </w:p>
    <w:p>
      <w:pPr>
        <w:spacing w:line="460" w:lineRule="exact"/>
        <w:jc w:val="both"/>
        <w:textAlignment w:val="baseline"/>
        <w:rPr>
          <w:rFonts w:hint="eastAsia"/>
          <w:color w:val="000000"/>
          <w:sz w:val="44"/>
          <w:szCs w:val="44"/>
          <w:lang w:val="en-US" w:eastAsia="zh-CN"/>
        </w:rPr>
      </w:pPr>
    </w:p>
    <w:p>
      <w:pPr>
        <w:spacing w:line="460" w:lineRule="exact"/>
        <w:jc w:val="both"/>
        <w:textAlignment w:val="baseline"/>
        <w:rPr>
          <w:rFonts w:hint="eastAsia"/>
          <w:color w:val="000000"/>
          <w:sz w:val="44"/>
          <w:szCs w:val="44"/>
          <w:lang w:val="en-US" w:eastAsia="zh-CN"/>
        </w:rPr>
      </w:pPr>
    </w:p>
    <w:p>
      <w:pPr>
        <w:spacing w:line="460" w:lineRule="exact"/>
        <w:jc w:val="both"/>
        <w:textAlignment w:val="baseline"/>
        <w:rPr>
          <w:rFonts w:hint="eastAsia"/>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baseline"/>
        <w:outlineLvl w:val="9"/>
        <w:rPr>
          <w:rFonts w:hint="eastAsia" w:ascii="楷体_GB2312" w:hAnsi="楷体_GB2312" w:eastAsia="楷体_GB2312" w:cs="楷体_GB2312"/>
          <w:b/>
          <w:bCs/>
          <w:color w:val="000000"/>
          <w:sz w:val="44"/>
          <w:szCs w:val="44"/>
          <w:lang w:val="en-US" w:eastAsia="zh-CN"/>
        </w:rPr>
      </w:pPr>
      <w:r>
        <w:rPr>
          <w:rFonts w:hint="eastAsia" w:ascii="楷体_GB2312" w:hAnsi="楷体_GB2312" w:eastAsia="楷体_GB2312" w:cs="楷体_GB2312"/>
          <w:b/>
          <w:bCs/>
          <w:color w:val="000000"/>
          <w:sz w:val="44"/>
          <w:szCs w:val="44"/>
          <w:lang w:val="en-US" w:eastAsia="zh-CN"/>
        </w:rPr>
        <w:t>馆陶县农村集体产权制度改革办公室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baseline"/>
        <w:outlineLvl w:val="9"/>
        <w:rPr>
          <w:rFonts w:hint="eastAsia" w:ascii="楷体_GB2312" w:hAnsi="楷体_GB2312" w:eastAsia="楷体_GB2312" w:cs="楷体_GB2312"/>
          <w:b/>
          <w:bCs/>
          <w:color w:val="000000"/>
          <w:sz w:val="44"/>
          <w:szCs w:val="44"/>
          <w:lang w:val="en-US" w:eastAsia="zh-CN"/>
        </w:rPr>
      </w:pPr>
      <w:r>
        <w:rPr>
          <w:rFonts w:hint="eastAsia" w:ascii="楷体_GB2312" w:hAnsi="楷体_GB2312" w:eastAsia="楷体_GB2312" w:cs="楷体_GB2312"/>
          <w:b/>
          <w:bCs/>
          <w:color w:val="000000"/>
          <w:sz w:val="44"/>
          <w:szCs w:val="44"/>
          <w:lang w:val="en-US" w:eastAsia="zh-CN"/>
        </w:rPr>
        <w:t>二〇一八年八月</w:t>
      </w:r>
    </w:p>
    <w:p>
      <w:pPr>
        <w:spacing w:line="460" w:lineRule="exact"/>
        <w:jc w:val="center"/>
        <w:textAlignment w:val="baseline"/>
        <w:rPr>
          <w:color w:val="000000"/>
          <w:sz w:val="44"/>
          <w:szCs w:val="44"/>
        </w:rPr>
      </w:pPr>
    </w:p>
    <w:p>
      <w:pPr>
        <w:spacing w:line="460" w:lineRule="exact"/>
        <w:jc w:val="center"/>
        <w:textAlignment w:val="baseline"/>
        <w:rPr>
          <w:color w:val="000000"/>
          <w:sz w:val="44"/>
          <w:szCs w:val="44"/>
        </w:rPr>
      </w:pPr>
    </w:p>
    <w:p>
      <w:pPr>
        <w:spacing w:line="460" w:lineRule="exact"/>
        <w:jc w:val="center"/>
        <w:textAlignment w:val="baseline"/>
        <w:rPr>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outlineLvl w:val="9"/>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目</w:t>
      </w:r>
      <w:r>
        <w:rPr>
          <w:rFonts w:hint="eastAsia" w:ascii="方正小标宋简体" w:hAnsi="方正小标宋简体" w:eastAsia="方正小标宋简体" w:cs="方正小标宋简体"/>
          <w:color w:val="000000"/>
          <w:sz w:val="44"/>
          <w:szCs w:val="44"/>
          <w:lang w:val="en-US" w:eastAsia="zh-CN"/>
        </w:rPr>
        <w:t xml:space="preserve">  </w:t>
      </w:r>
      <w:r>
        <w:rPr>
          <w:rFonts w:hint="eastAsia" w:ascii="方正小标宋简体" w:hAnsi="方正小标宋简体" w:eastAsia="方正小标宋简体" w:cs="方正小标宋简体"/>
          <w:color w:val="000000"/>
          <w:sz w:val="44"/>
          <w:szCs w:val="44"/>
          <w:lang w:eastAsia="zh-CN"/>
        </w:rPr>
        <w:t>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outlineLvl w:val="9"/>
        <w:rPr>
          <w:rFonts w:hint="eastAsia" w:ascii="方正小标宋简体" w:hAnsi="方正小标宋简体" w:eastAsia="方正小标宋简体" w:cs="方正小标宋简体"/>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outlineLvl w:val="9"/>
        <w:rPr>
          <w:rFonts w:hint="eastAsia" w:ascii="黑体" w:hAnsi="黑体" w:eastAsia="黑体" w:cs="黑体"/>
          <w:color w:val="000000"/>
          <w:sz w:val="36"/>
          <w:szCs w:val="36"/>
          <w:lang w:eastAsia="zh-CN"/>
        </w:rPr>
      </w:pPr>
      <w:r>
        <w:rPr>
          <w:rFonts w:hint="eastAsia" w:ascii="黑体" w:hAnsi="黑体" w:eastAsia="黑体" w:cs="黑体"/>
          <w:color w:val="000000"/>
          <w:sz w:val="36"/>
          <w:szCs w:val="36"/>
          <w:lang w:eastAsia="zh-CN"/>
        </w:rPr>
        <w:t>政策文件篇</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河北省农工办等十部门联合下发了《关于全面开展农村集体资产清产核资工作的通知》（冀农村改发【2018】2号）</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河北省农村集体资产清产核资实施办法</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中共邯郸市委农工委（农办）关于印发《邯郸市农村集体资产清产核资工作实施方案》的通知</w:t>
      </w:r>
      <w:r>
        <w:rPr>
          <w:rFonts w:hint="eastAsia" w:ascii="仿宋_GB2312" w:hAnsi="仿宋_GB2312" w:eastAsia="仿宋_GB2312" w:cs="仿宋_GB2312"/>
          <w:color w:val="000000"/>
          <w:sz w:val="32"/>
          <w:szCs w:val="32"/>
          <w:lang w:val="en-US" w:eastAsia="zh-CN"/>
        </w:rPr>
        <w:t xml:space="preserve">  </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33</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馆陶县农村集体产权制度改革领导小组关于印发《农村集体资产清产核资工作实施方案》的通知</w:t>
      </w:r>
      <w:r>
        <w:rPr>
          <w:rFonts w:hint="eastAsia" w:ascii="仿宋_GB2312" w:hAnsi="仿宋_GB2312" w:eastAsia="仿宋_GB2312" w:cs="仿宋_GB2312"/>
          <w:color w:val="000000"/>
          <w:sz w:val="32"/>
          <w:szCs w:val="32"/>
          <w:lang w:val="en-US" w:eastAsia="zh-CN"/>
        </w:rPr>
        <w:t xml:space="preserve"> </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45</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馆陶县农村集体产权制度改革领导小组关于印发《农村集体资产清产核资办法》的通知</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61</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馆陶县农村集体产权制度改革领导小组关于农村集体资产评估的指导意见 </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76</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馆陶县农村集体产权制度改革工作领导小组关于做好农村集体资产清产核资工作的补充通知 </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81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outlineLvl w:val="9"/>
        <w:rPr>
          <w:rFonts w:hint="eastAsia" w:ascii="黑体" w:hAnsi="黑体" w:eastAsia="黑体" w:cs="黑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outlineLvl w:val="9"/>
        <w:rPr>
          <w:rFonts w:hint="eastAsia" w:ascii="黑体" w:hAnsi="黑体" w:eastAsia="黑体" w:cs="黑体"/>
          <w:color w:val="000000"/>
          <w:sz w:val="36"/>
          <w:szCs w:val="36"/>
          <w:lang w:eastAsia="zh-CN"/>
        </w:rPr>
      </w:pPr>
      <w:r>
        <w:rPr>
          <w:rFonts w:hint="eastAsia" w:ascii="黑体" w:hAnsi="黑体" w:eastAsia="黑体" w:cs="黑体"/>
          <w:color w:val="000000"/>
          <w:sz w:val="36"/>
          <w:szCs w:val="36"/>
          <w:lang w:eastAsia="zh-CN"/>
        </w:rPr>
        <w:t>清查核实篇</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农村集体资产清产核资操作程序示图</w:t>
      </w:r>
      <w:r>
        <w:rPr>
          <w:rFonts w:hint="eastAsia" w:ascii="仿宋_GB2312" w:hAnsi="仿宋_GB2312" w:eastAsia="仿宋_GB2312" w:cs="仿宋_GB2312"/>
          <w:color w:val="000000"/>
          <w:sz w:val="32"/>
          <w:szCs w:val="32"/>
          <w:lang w:val="en-US" w:eastAsia="zh-CN"/>
        </w:rPr>
        <w:t xml:space="preserve"> </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84</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馆陶县农村资产清产核资工作实务操作流程及要求 </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85</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馆陶县农村集体产权制度改革宣传标语 </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89</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XXX村会议记录（样式）</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91</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XXX乡镇农村集体资产清产核资培训方案</w:t>
      </w:r>
      <w:r>
        <w:rPr>
          <w:rFonts w:hint="eastAsia" w:ascii="Arial" w:hAnsi="Arial" w:eastAsia="仿宋_GB2312" w:cs="Arial"/>
          <w:color w:val="000000"/>
          <w:sz w:val="32"/>
          <w:szCs w:val="32"/>
          <w:lang w:eastAsia="zh-CN"/>
        </w:rPr>
        <w:t>（样式）</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93</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馆陶县农村集体经济组织债权（债务）核实确认书</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94</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农村集体债务核销申报表 </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95</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农村集体债权核销申报表 </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96</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农村集体资产评估相关程序 </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97</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农村集体资产估价表 </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98</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农村集体资产价值重估表 </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99</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资产评估报告书</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100</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农村集体资产评估公示表</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103农村集体资产盘盈盘亏审批表</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104</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农村集体资产核销审批表</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105</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馆陶县行政事业单位经管资产移交(备案）表 </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106</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馆陶县行政事业单位经管资产移交汇总表</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107</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XX村集体资产清产核资工作的验收请示</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108</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XX村集体资产清产核资工作的验收报告</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111</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资产负债表</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113</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资产负债表填制说明</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114</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河北省农村集体资源资产台账</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118</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农村集体固定资产登记卡片</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125</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农村集体经济组织承包合同台账</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126</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农村土地承包合同（样式）</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127</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农村集体资源性资产状况分布图（样式）</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131</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资产负债汇总表（组织类）</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132</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资产负债汇总表（全资企业类）</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133</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资产负债汇总表（合并报表）</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134</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资源性资产清查登记汇总表</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135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outlineLvl w:val="9"/>
        <w:rPr>
          <w:rFonts w:hint="eastAsia" w:ascii="黑体" w:hAnsi="黑体" w:eastAsia="黑体" w:cs="黑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outlineLvl w:val="9"/>
        <w:rPr>
          <w:rFonts w:hint="eastAsia" w:ascii="黑体" w:hAnsi="黑体" w:eastAsia="黑体" w:cs="黑体"/>
          <w:color w:val="000000"/>
          <w:sz w:val="36"/>
          <w:szCs w:val="36"/>
          <w:lang w:eastAsia="zh-CN"/>
        </w:rPr>
      </w:pPr>
      <w:r>
        <w:rPr>
          <w:rFonts w:hint="eastAsia" w:ascii="黑体" w:hAnsi="黑体" w:eastAsia="黑体" w:cs="黑体"/>
          <w:color w:val="000000"/>
          <w:sz w:val="36"/>
          <w:szCs w:val="36"/>
          <w:lang w:eastAsia="zh-CN"/>
        </w:rPr>
        <w:t>建章立制篇</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馆陶县农村集体产权改革领导小组关于印发《加强农村集体资金资产资源管理的实施方案》的通知</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136</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馆陶县农村集体产权制度改革领导小组关于印发《农村集体资金资产资源管理办法》的通知</w:t>
      </w:r>
      <w:r>
        <w:rPr>
          <w:rFonts w:hint="default" w:ascii="Arial" w:hAnsi="Arial" w:eastAsia="仿宋_GB2312" w:cs="Arial"/>
          <w:color w:val="000000"/>
          <w:sz w:val="32"/>
          <w:szCs w:val="32"/>
          <w:lang w:eastAsia="zh-CN"/>
        </w:rPr>
        <w:t>………………………………</w:t>
      </w:r>
      <w:r>
        <w:rPr>
          <w:rFonts w:hint="eastAsia" w:ascii="仿宋_GB2312" w:hAnsi="仿宋_GB2312" w:eastAsia="仿宋_GB2312" w:cs="仿宋_GB2312"/>
          <w:color w:val="000000"/>
          <w:sz w:val="32"/>
          <w:szCs w:val="32"/>
          <w:lang w:val="en-US" w:eastAsia="zh-CN"/>
        </w:rPr>
        <w:t>144</w:t>
      </w:r>
    </w:p>
    <w:p>
      <w:pPr>
        <w:keepNext w:val="0"/>
        <w:keepLines w:val="0"/>
        <w:pageBreakBefore w:val="0"/>
        <w:widowControl w:val="0"/>
        <w:kinsoku/>
        <w:wordWrap/>
        <w:overflowPunct/>
        <w:topLinePunct w:val="0"/>
        <w:autoSpaceDE/>
        <w:autoSpaceDN/>
        <w:bidi w:val="0"/>
        <w:adjustRightInd/>
        <w:snapToGrid/>
        <w:spacing w:line="600" w:lineRule="exact"/>
        <w:jc w:val="left"/>
        <w:textAlignment w:val="baseline"/>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pacing w:line="620" w:lineRule="exact"/>
        <w:ind w:firstLine="880" w:firstLineChars="200"/>
        <w:jc w:val="center"/>
        <w:textAlignment w:val="auto"/>
        <w:outlineLvl w:val="9"/>
        <w:rPr>
          <w:rFonts w:hint="eastAsia" w:ascii="方正小标宋简体" w:hAnsi="方正小标宋简体" w:eastAsia="方正小标宋简体" w:cs="方正小标宋简体"/>
          <w:b w:val="0"/>
          <w:bCs w:val="0"/>
          <w:color w:val="000000"/>
          <w:sz w:val="44"/>
          <w:szCs w:val="44"/>
          <w:lang w:eastAsia="zh-CN"/>
        </w:rPr>
      </w:pPr>
    </w:p>
    <w:p>
      <w:pPr>
        <w:keepNext w:val="0"/>
        <w:keepLines w:val="0"/>
        <w:pageBreakBefore w:val="0"/>
        <w:widowControl w:val="0"/>
        <w:kinsoku/>
        <w:wordWrap/>
        <w:overflowPunct/>
        <w:topLinePunct w:val="0"/>
        <w:autoSpaceDE/>
        <w:autoSpaceDN/>
        <w:bidi w:val="0"/>
        <w:adjustRightInd/>
        <w:spacing w:line="620" w:lineRule="exact"/>
        <w:ind w:firstLine="880" w:firstLineChars="200"/>
        <w:jc w:val="center"/>
        <w:textAlignment w:val="auto"/>
        <w:outlineLvl w:val="9"/>
        <w:rPr>
          <w:rFonts w:hint="eastAsia" w:ascii="方正小标宋简体" w:hAnsi="方正小标宋简体" w:eastAsia="方正小标宋简体" w:cs="方正小标宋简体"/>
          <w:b w:val="0"/>
          <w:bCs w:val="0"/>
          <w:color w:val="000000"/>
          <w:sz w:val="44"/>
          <w:szCs w:val="44"/>
          <w:lang w:eastAsia="zh-CN"/>
        </w:rPr>
      </w:pPr>
    </w:p>
    <w:p>
      <w:pPr>
        <w:keepNext w:val="0"/>
        <w:keepLines w:val="0"/>
        <w:pageBreakBefore w:val="0"/>
        <w:widowControl w:val="0"/>
        <w:kinsoku/>
        <w:wordWrap/>
        <w:overflowPunct/>
        <w:topLinePunct w:val="0"/>
        <w:autoSpaceDE/>
        <w:autoSpaceDN/>
        <w:bidi w:val="0"/>
        <w:adjustRightInd/>
        <w:spacing w:line="620" w:lineRule="exact"/>
        <w:ind w:firstLine="880" w:firstLineChars="200"/>
        <w:jc w:val="center"/>
        <w:textAlignment w:val="auto"/>
        <w:outlineLvl w:val="9"/>
        <w:rPr>
          <w:rFonts w:hint="eastAsia" w:ascii="方正小标宋简体" w:hAnsi="方正小标宋简体" w:eastAsia="方正小标宋简体" w:cs="方正小标宋简体"/>
          <w:b w:val="0"/>
          <w:bCs w:val="0"/>
          <w:color w:val="000000"/>
          <w:sz w:val="44"/>
          <w:szCs w:val="44"/>
          <w:lang w:eastAsia="zh-CN"/>
        </w:rPr>
      </w:pPr>
    </w:p>
    <w:p>
      <w:pPr>
        <w:keepNext w:val="0"/>
        <w:keepLines w:val="0"/>
        <w:pageBreakBefore w:val="0"/>
        <w:widowControl w:val="0"/>
        <w:kinsoku/>
        <w:wordWrap/>
        <w:overflowPunct/>
        <w:topLinePunct w:val="0"/>
        <w:autoSpaceDE/>
        <w:autoSpaceDN/>
        <w:bidi w:val="0"/>
        <w:adjustRightInd/>
        <w:spacing w:line="620" w:lineRule="exact"/>
        <w:ind w:firstLine="880" w:firstLineChars="200"/>
        <w:jc w:val="center"/>
        <w:textAlignment w:val="auto"/>
        <w:outlineLvl w:val="9"/>
        <w:rPr>
          <w:rFonts w:hint="eastAsia" w:ascii="方正小标宋简体" w:hAnsi="方正小标宋简体" w:eastAsia="方正小标宋简体" w:cs="方正小标宋简体"/>
          <w:b w:val="0"/>
          <w:bCs w:val="0"/>
          <w:color w:val="000000"/>
          <w:sz w:val="44"/>
          <w:szCs w:val="44"/>
          <w:lang w:eastAsia="zh-CN"/>
        </w:rPr>
      </w:pPr>
    </w:p>
    <w:p>
      <w:pPr>
        <w:keepNext w:val="0"/>
        <w:keepLines w:val="0"/>
        <w:pageBreakBefore w:val="0"/>
        <w:widowControl w:val="0"/>
        <w:kinsoku/>
        <w:wordWrap/>
        <w:overflowPunct/>
        <w:topLinePunct w:val="0"/>
        <w:autoSpaceDE/>
        <w:autoSpaceDN/>
        <w:bidi w:val="0"/>
        <w:adjustRightInd/>
        <w:spacing w:line="620" w:lineRule="exact"/>
        <w:ind w:firstLine="880" w:firstLineChars="200"/>
        <w:jc w:val="center"/>
        <w:textAlignment w:val="auto"/>
        <w:outlineLvl w:val="9"/>
        <w:rPr>
          <w:rFonts w:hint="eastAsia" w:ascii="方正小标宋简体" w:hAnsi="方正小标宋简体" w:eastAsia="方正小标宋简体" w:cs="方正小标宋简体"/>
          <w:b w:val="0"/>
          <w:bCs w:val="0"/>
          <w:color w:val="000000"/>
          <w:sz w:val="44"/>
          <w:szCs w:val="44"/>
          <w:lang w:eastAsia="zh-CN"/>
        </w:rPr>
        <w:sectPr>
          <w:headerReference r:id="rId3" w:type="default"/>
          <w:footerReference r:id="rId4" w:type="default"/>
          <w:pgSz w:w="11906" w:h="16838"/>
          <w:pgMar w:top="1644" w:right="1644" w:bottom="1644" w:left="1701"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pacing w:line="620" w:lineRule="exact"/>
        <w:ind w:firstLine="880" w:firstLineChars="200"/>
        <w:jc w:val="center"/>
        <w:textAlignment w:val="auto"/>
        <w:outlineLvl w:val="9"/>
        <w:rPr>
          <w:rFonts w:hint="eastAsia" w:ascii="方正小标宋简体" w:hAnsi="方正小标宋简体" w:eastAsia="方正小标宋简体" w:cs="方正小标宋简体"/>
          <w:b w:val="0"/>
          <w:bCs w:val="0"/>
          <w:color w:val="000000"/>
          <w:sz w:val="44"/>
          <w:szCs w:val="44"/>
          <w:lang w:eastAsia="zh-CN"/>
        </w:rPr>
      </w:pPr>
    </w:p>
    <w:tbl>
      <w:tblPr>
        <w:tblStyle w:val="9"/>
        <w:tblpPr w:leftFromText="180" w:rightFromText="180" w:vertAnchor="text" w:horzAnchor="page" w:tblpX="1809" w:tblpY="454"/>
        <w:tblOverlap w:val="never"/>
        <w:tblW w:w="8619" w:type="dxa"/>
        <w:tblInd w:w="0" w:type="dxa"/>
        <w:tblLayout w:type="fixed"/>
        <w:tblCellMar>
          <w:top w:w="0" w:type="dxa"/>
          <w:left w:w="28" w:type="dxa"/>
          <w:bottom w:w="0" w:type="dxa"/>
          <w:right w:w="28" w:type="dxa"/>
        </w:tblCellMar>
      </w:tblPr>
      <w:tblGrid>
        <w:gridCol w:w="7032"/>
        <w:gridCol w:w="1587"/>
      </w:tblGrid>
      <w:tr>
        <w:tblPrEx>
          <w:tblLayout w:type="fixed"/>
          <w:tblCellMar>
            <w:top w:w="0" w:type="dxa"/>
            <w:left w:w="28" w:type="dxa"/>
            <w:bottom w:w="0" w:type="dxa"/>
            <w:right w:w="28" w:type="dxa"/>
          </w:tblCellMar>
        </w:tblPrEx>
        <w:trPr>
          <w:trHeight w:val="1545" w:hRule="atLeast"/>
        </w:trPr>
        <w:tc>
          <w:tcPr>
            <w:tcW w:w="7032" w:type="dxa"/>
            <w:vAlign w:val="center"/>
          </w:tcPr>
          <w:p>
            <w:pPr>
              <w:spacing w:line="660" w:lineRule="exact"/>
              <w:jc w:val="distribute"/>
              <w:rPr>
                <w:rFonts w:hint="eastAsia" w:ascii="方正小标宋简体" w:hAnsi="方正小标宋简体" w:eastAsia="方正小标宋简体" w:cs="方正小标宋简体"/>
                <w:bCs/>
                <w:color w:val="FF0000"/>
                <w:spacing w:val="20"/>
                <w:w w:val="80"/>
                <w:kern w:val="0"/>
                <w:sz w:val="56"/>
                <w:szCs w:val="56"/>
              </w:rPr>
            </w:pPr>
            <w:r>
              <w:rPr>
                <w:rFonts w:hint="eastAsia" w:ascii="方正小标宋简体" w:hAnsi="方正小标宋简体" w:eastAsia="方正小标宋简体" w:cs="方正小标宋简体"/>
                <w:bCs/>
                <w:color w:val="FF0000"/>
                <w:spacing w:val="20"/>
                <w:w w:val="80"/>
                <w:kern w:val="0"/>
                <w:sz w:val="56"/>
                <w:szCs w:val="56"/>
              </w:rPr>
              <w:t>河北省委省政府农村工作办公室</w:t>
            </w:r>
          </w:p>
          <w:p>
            <w:pPr>
              <w:spacing w:line="660" w:lineRule="exact"/>
              <w:jc w:val="distribute"/>
              <w:rPr>
                <w:rFonts w:hint="eastAsia" w:ascii="方正小标宋简体" w:hAnsi="方正小标宋简体" w:eastAsia="方正小标宋简体" w:cs="方正小标宋简体"/>
                <w:bCs/>
                <w:color w:val="FF0000"/>
                <w:spacing w:val="17"/>
                <w:w w:val="80"/>
                <w:kern w:val="0"/>
                <w:sz w:val="56"/>
                <w:szCs w:val="56"/>
              </w:rPr>
            </w:pPr>
            <w:r>
              <w:rPr>
                <w:rFonts w:hint="eastAsia" w:ascii="方正小标宋简体" w:hAnsi="方正小标宋简体" w:eastAsia="方正小标宋简体" w:cs="方正小标宋简体"/>
                <w:bCs/>
                <w:color w:val="FF0000"/>
                <w:spacing w:val="17"/>
                <w:w w:val="80"/>
                <w:kern w:val="0"/>
                <w:sz w:val="56"/>
                <w:szCs w:val="56"/>
              </w:rPr>
              <w:t>河   北   省   农   业   厅</w:t>
            </w:r>
          </w:p>
          <w:p>
            <w:pPr>
              <w:spacing w:line="560" w:lineRule="exact"/>
              <w:jc w:val="distribute"/>
              <w:rPr>
                <w:rFonts w:hint="eastAsia" w:ascii="方正小标宋简体" w:hAnsi="方正小标宋简体" w:eastAsia="方正小标宋简体" w:cs="方正小标宋简体"/>
                <w:bCs/>
                <w:color w:val="FF0000"/>
                <w:spacing w:val="20"/>
                <w:w w:val="80"/>
                <w:kern w:val="0"/>
                <w:sz w:val="56"/>
                <w:szCs w:val="56"/>
              </w:rPr>
            </w:pPr>
            <w:r>
              <w:rPr>
                <w:rFonts w:hint="eastAsia" w:ascii="方正小标宋简体" w:hAnsi="方正小标宋简体" w:eastAsia="方正小标宋简体" w:cs="方正小标宋简体"/>
                <w:bCs/>
                <w:color w:val="FF0000"/>
                <w:spacing w:val="20"/>
                <w:w w:val="80"/>
                <w:kern w:val="0"/>
                <w:sz w:val="56"/>
                <w:szCs w:val="56"/>
              </w:rPr>
              <w:t>河北省财政厅</w:t>
            </w:r>
          </w:p>
          <w:p>
            <w:pPr>
              <w:spacing w:line="560" w:lineRule="exact"/>
              <w:jc w:val="distribute"/>
              <w:rPr>
                <w:rFonts w:hint="eastAsia" w:ascii="方正小标宋简体" w:hAnsi="方正小标宋简体" w:eastAsia="方正小标宋简体" w:cs="方正小标宋简体"/>
                <w:bCs/>
                <w:color w:val="FF0000"/>
                <w:spacing w:val="20"/>
                <w:w w:val="80"/>
                <w:kern w:val="0"/>
                <w:sz w:val="56"/>
                <w:szCs w:val="56"/>
              </w:rPr>
            </w:pPr>
            <w:r>
              <w:rPr>
                <w:rFonts w:hint="eastAsia" w:ascii="方正小标宋简体" w:hAnsi="方正小标宋简体" w:eastAsia="方正小标宋简体" w:cs="方正小标宋简体"/>
                <w:bCs/>
                <w:color w:val="FF0000"/>
                <w:spacing w:val="20"/>
                <w:w w:val="80"/>
                <w:kern w:val="0"/>
                <w:sz w:val="56"/>
                <w:szCs w:val="56"/>
              </w:rPr>
              <w:t>河北省国土资源厅</w:t>
            </w:r>
          </w:p>
          <w:p>
            <w:pPr>
              <w:spacing w:line="560" w:lineRule="exact"/>
              <w:jc w:val="distribute"/>
              <w:rPr>
                <w:rFonts w:hint="eastAsia" w:ascii="方正小标宋简体" w:hAnsi="方正小标宋简体" w:eastAsia="方正小标宋简体" w:cs="方正小标宋简体"/>
                <w:bCs/>
                <w:color w:val="FF0000"/>
                <w:spacing w:val="20"/>
                <w:w w:val="80"/>
                <w:kern w:val="0"/>
                <w:sz w:val="56"/>
                <w:szCs w:val="56"/>
              </w:rPr>
            </w:pPr>
            <w:r>
              <w:rPr>
                <w:rFonts w:hint="eastAsia" w:ascii="方正小标宋简体" w:hAnsi="方正小标宋简体" w:eastAsia="方正小标宋简体" w:cs="方正小标宋简体"/>
                <w:bCs/>
                <w:color w:val="FF0000"/>
                <w:spacing w:val="20"/>
                <w:w w:val="80"/>
                <w:kern w:val="0"/>
                <w:sz w:val="56"/>
                <w:szCs w:val="56"/>
              </w:rPr>
              <w:t>河北省水利厅</w:t>
            </w:r>
          </w:p>
          <w:p>
            <w:pPr>
              <w:spacing w:line="560" w:lineRule="exact"/>
              <w:jc w:val="distribute"/>
              <w:rPr>
                <w:rFonts w:hint="eastAsia" w:ascii="方正小标宋简体" w:hAnsi="方正小标宋简体" w:eastAsia="方正小标宋简体" w:cs="方正小标宋简体"/>
                <w:bCs/>
                <w:color w:val="FF0000"/>
                <w:spacing w:val="20"/>
                <w:w w:val="80"/>
                <w:kern w:val="0"/>
                <w:sz w:val="56"/>
                <w:szCs w:val="56"/>
              </w:rPr>
            </w:pPr>
            <w:r>
              <w:rPr>
                <w:rFonts w:hint="eastAsia" w:ascii="方正小标宋简体" w:hAnsi="方正小标宋简体" w:eastAsia="方正小标宋简体" w:cs="方正小标宋简体"/>
                <w:bCs/>
                <w:color w:val="FF0000"/>
                <w:spacing w:val="20"/>
                <w:w w:val="80"/>
                <w:kern w:val="0"/>
                <w:sz w:val="56"/>
                <w:szCs w:val="56"/>
              </w:rPr>
              <w:t>河北省林业厅</w:t>
            </w:r>
          </w:p>
          <w:p>
            <w:pPr>
              <w:spacing w:line="560" w:lineRule="exact"/>
              <w:jc w:val="distribute"/>
              <w:rPr>
                <w:rFonts w:hint="eastAsia" w:ascii="方正小标宋简体" w:hAnsi="方正小标宋简体" w:eastAsia="方正小标宋简体" w:cs="方正小标宋简体"/>
                <w:bCs/>
                <w:color w:val="FF0000"/>
                <w:spacing w:val="20"/>
                <w:w w:val="80"/>
                <w:kern w:val="0"/>
                <w:sz w:val="56"/>
                <w:szCs w:val="56"/>
              </w:rPr>
            </w:pPr>
            <w:r>
              <w:rPr>
                <w:rFonts w:hint="eastAsia" w:ascii="方正小标宋简体" w:hAnsi="方正小标宋简体" w:eastAsia="方正小标宋简体" w:cs="方正小标宋简体"/>
                <w:bCs/>
                <w:color w:val="FF0000"/>
                <w:spacing w:val="20"/>
                <w:w w:val="80"/>
                <w:kern w:val="0"/>
                <w:sz w:val="56"/>
                <w:szCs w:val="56"/>
              </w:rPr>
              <w:t>河北省教育厅</w:t>
            </w:r>
          </w:p>
          <w:p>
            <w:pPr>
              <w:spacing w:line="560" w:lineRule="exact"/>
              <w:jc w:val="distribute"/>
              <w:rPr>
                <w:rFonts w:hint="eastAsia" w:ascii="方正小标宋简体" w:hAnsi="方正小标宋简体" w:eastAsia="方正小标宋简体" w:cs="方正小标宋简体"/>
                <w:bCs/>
                <w:color w:val="FF0000"/>
                <w:spacing w:val="20"/>
                <w:w w:val="80"/>
                <w:kern w:val="0"/>
                <w:sz w:val="56"/>
                <w:szCs w:val="56"/>
              </w:rPr>
            </w:pPr>
            <w:r>
              <w:rPr>
                <w:rFonts w:hint="eastAsia" w:ascii="方正小标宋简体" w:hAnsi="方正小标宋简体" w:eastAsia="方正小标宋简体" w:cs="方正小标宋简体"/>
                <w:bCs/>
                <w:color w:val="FF0000"/>
                <w:spacing w:val="20"/>
                <w:w w:val="80"/>
                <w:kern w:val="0"/>
                <w:sz w:val="56"/>
                <w:szCs w:val="56"/>
              </w:rPr>
              <w:t>河北省文化厅</w:t>
            </w:r>
          </w:p>
          <w:p>
            <w:pPr>
              <w:spacing w:line="660" w:lineRule="exact"/>
              <w:jc w:val="distribute"/>
              <w:rPr>
                <w:rFonts w:hint="eastAsia" w:ascii="方正小标宋简体" w:hAnsi="方正小标宋简体" w:eastAsia="方正小标宋简体" w:cs="方正小标宋简体"/>
                <w:bCs/>
                <w:color w:val="FF0000"/>
                <w:spacing w:val="20"/>
                <w:w w:val="80"/>
                <w:kern w:val="0"/>
                <w:sz w:val="56"/>
                <w:szCs w:val="56"/>
              </w:rPr>
            </w:pPr>
            <w:r>
              <w:rPr>
                <w:rFonts w:hint="eastAsia" w:ascii="方正小标宋简体" w:hAnsi="方正小标宋简体" w:eastAsia="方正小标宋简体" w:cs="方正小标宋简体"/>
                <w:bCs/>
                <w:color w:val="FF0000"/>
                <w:spacing w:val="20"/>
                <w:w w:val="80"/>
                <w:kern w:val="0"/>
                <w:sz w:val="56"/>
                <w:szCs w:val="56"/>
              </w:rPr>
              <w:t>河北省卫生计生委员会</w:t>
            </w:r>
          </w:p>
          <w:p>
            <w:pPr>
              <w:spacing w:line="660" w:lineRule="exact"/>
              <w:jc w:val="distribute"/>
              <w:rPr>
                <w:rFonts w:hint="eastAsia" w:ascii="方正小标宋简体" w:hAnsi="方正小标宋简体" w:eastAsia="方正小标宋简体" w:cs="方正小标宋简体"/>
                <w:bCs/>
                <w:color w:val="FF0000"/>
                <w:spacing w:val="17"/>
                <w:w w:val="80"/>
                <w:kern w:val="0"/>
                <w:sz w:val="56"/>
                <w:szCs w:val="56"/>
              </w:rPr>
            </w:pPr>
            <w:r>
              <w:rPr>
                <w:rFonts w:hint="eastAsia" w:ascii="方正小标宋简体" w:hAnsi="方正小标宋简体" w:eastAsia="方正小标宋简体" w:cs="方正小标宋简体"/>
                <w:bCs/>
                <w:color w:val="FF0000"/>
                <w:spacing w:val="20"/>
                <w:w w:val="80"/>
                <w:kern w:val="0"/>
                <w:sz w:val="56"/>
                <w:szCs w:val="56"/>
              </w:rPr>
              <w:t>河北省体育局</w:t>
            </w:r>
          </w:p>
        </w:tc>
        <w:tc>
          <w:tcPr>
            <w:tcW w:w="1587" w:type="dxa"/>
            <w:vAlign w:val="top"/>
          </w:tcPr>
          <w:p>
            <w:pPr>
              <w:rPr>
                <w:rFonts w:hint="eastAsia" w:eastAsia="方正小标宋简体"/>
                <w:bCs/>
                <w:color w:val="FF0000"/>
                <w:w w:val="70"/>
                <w:sz w:val="100"/>
                <w:szCs w:val="100"/>
              </w:rPr>
            </w:pPr>
          </w:p>
          <w:p>
            <w:pPr>
              <w:rPr>
                <w:rFonts w:hint="eastAsia"/>
              </w:rPr>
            </w:pPr>
            <w:r>
              <w:rPr>
                <w:rFonts w:hint="eastAsia" w:eastAsia="方正小标宋简体"/>
                <w:bCs/>
                <w:color w:val="FF0000"/>
                <w:w w:val="70"/>
                <w:sz w:val="100"/>
                <w:szCs w:val="100"/>
              </w:rPr>
              <w:t>文件</w:t>
            </w:r>
          </w:p>
        </w:tc>
      </w:tr>
      <w:tr>
        <w:tblPrEx>
          <w:tblLayout w:type="fixed"/>
          <w:tblCellMar>
            <w:top w:w="0" w:type="dxa"/>
            <w:left w:w="28" w:type="dxa"/>
            <w:bottom w:w="0" w:type="dxa"/>
            <w:right w:w="28" w:type="dxa"/>
          </w:tblCellMar>
        </w:tblPrEx>
        <w:trPr>
          <w:trHeight w:val="1916" w:hRule="exact"/>
        </w:trPr>
        <w:tc>
          <w:tcPr>
            <w:tcW w:w="8619" w:type="dxa"/>
            <w:gridSpan w:val="2"/>
            <w:vAlign w:val="bottom"/>
          </w:tcPr>
          <w:p>
            <w:pPr>
              <w:rPr>
                <w:rFonts w:hint="eastAsia"/>
              </w:rPr>
            </w:pPr>
          </w:p>
          <w:p>
            <w:pPr>
              <w:spacing w:line="400" w:lineRule="exact"/>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hAnsi="宋体" w:eastAsia="仿宋_GB2312"/>
                <w:b/>
                <w:sz w:val="32"/>
                <w:szCs w:val="32"/>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339725</wp:posOffset>
                      </wp:positionV>
                      <wp:extent cx="5589905" cy="762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89905" cy="762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5pt;margin-top:26.75pt;height:0.6pt;width:440.15pt;z-index:251658240;mso-width-relative:page;mso-height-relative:page;" filled="f" stroked="t" coordsize="21600,21600" o:gfxdata="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S61a9oAAAAJ&#10;AQAADwAAAAAAAAABACAAAAAiAAAAZHJzL2Rvd25yZXYueG1sUEsBAhQAFAAAAAgAh07iQADpQ/jh&#10;AQAAmgMAAA4AAAAAAAAAAQAgAAAAKQEAAGRycy9lMm9Eb2MueG1sUEsFBgAAAAAGAAYAWQEAAHwF&#10;AAAAAA==&#10;">
                      <v:fill on="f" focussize="0,0"/>
                      <v:stroke weight="1.5pt" color="#FF0000" joinstyle="round"/>
                      <v:imagedata o:title=""/>
                      <o:lock v:ext="edit" aspectratio="f"/>
                    </v:line>
                  </w:pict>
                </mc:Fallback>
              </mc:AlternateContent>
            </w:r>
            <w:r>
              <w:rPr>
                <w:rFonts w:hint="eastAsia" w:ascii="仿宋_GB2312" w:eastAsia="仿宋_GB2312"/>
                <w:sz w:val="32"/>
                <w:szCs w:val="32"/>
              </w:rPr>
              <w:t>冀农村改发〔2018〕2号</w:t>
            </w:r>
          </w:p>
        </w:tc>
      </w:tr>
    </w:tbl>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省农工办等十部门关于全面开展农村集体资产清产核资工作的通知</w:t>
      </w:r>
    </w:p>
    <w:p>
      <w:pPr>
        <w:spacing w:line="560" w:lineRule="exact"/>
        <w:jc w:val="center"/>
        <w:rPr>
          <w:rFonts w:ascii="仿宋_GB2312" w:hAnsi="仿宋_GB2312" w:eastAsia="仿宋_GB2312" w:cs="仿宋_GB2312"/>
          <w:b/>
          <w:bCs/>
          <w:sz w:val="32"/>
          <w:szCs w:val="32"/>
        </w:rPr>
      </w:pPr>
    </w:p>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各市（含定州、辛集市）委农工委（部）、农业（农牧）局、财政局、国土资源局、水务（水利）局、林业局、教育局、文化局、卫生计生委、体育局：</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农业部等九部门《关于全面开展农村集体资产清产核资工作的通知》，中共河北省委、河北省人民政府《关于稳步推进农村集体产权制度改革的实施意见》等文件精神，现就我省全面开展农村集体资产清产核资工作有关事项通知如下</w:t>
      </w:r>
      <w:r>
        <w:rPr>
          <w:rFonts w:hint="eastAsia" w:ascii="仿宋_GB2312" w:hAnsi="仿宋_GB2312" w:eastAsia="仿宋_GB2312" w:cs="仿宋_GB2312"/>
          <w:sz w:val="32"/>
          <w:szCs w:val="32"/>
          <w:lang w:eastAsia="zh-CN"/>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一、准确把握总体要求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村集体资产清产核资是推进农村集体产权制度改革的重要基础，通过全面开展清产核资，对集体资产分类登记，实行台账管理，能够切实摸清集体家底，促进集体资产保值增值；通过把集体资产的所有权确权到不同层级的农村集体经济组织成员集体，稳步推进股份合作制改革，切实维护好农民财产权益，不断增加农民财产性收入；通过建立健全集体资产登记、保管、使用和处置等各项制度，加强和规范集体资产财务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农村集体资产清产核资,要以明晰农村集体产权归属、维护农村集体经济组织成员权利为目的，以未承包到户的资源性资产和集体统一经营的经营性资产以及现金、债权债务等为重点，全面清查核实集体各类资产，摸清集体家底，健全管理制度，防止资产流失，为深化农村集体产权制度改革，盘活农村集体资产，发展新型集体经济，增加农民财产性收入奠定坚实基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农村集体资产清产核资,要坚持实事求是、客观公正，统筹考虑历史原因和现实情况，明确集体资产产权归属，保持集体资产的完整性，维护集体经济组织及其成员财产权益。坚持有序推进、合理合法，先将农村集体资产现状摸清查实、记录在册，对有需要的进行价值评估，严格遵守相关法规政策和财经制度，确保清查核实结果真实准确。坚持农民群众充分参与，依靠和发动群众，接受农民监督，清查结果进行公示公开，得到农民群众认可。</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二、认真做好重点工作</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（一）清查核实资产。</w:t>
      </w:r>
      <w:r>
        <w:rPr>
          <w:rFonts w:hint="eastAsia" w:ascii="仿宋_GB2312" w:hAnsi="仿宋_GB2312" w:eastAsia="仿宋_GB2312" w:cs="仿宋_GB2312"/>
          <w:sz w:val="32"/>
          <w:szCs w:val="32"/>
        </w:rPr>
        <w:t>按照《河北省农村集体资产清产核资实施办法》（附件1）、《农村集体资产清产核资报表》（附件2）、《农村集体资产清产核资报表填报说明》（附件3）的要求，全面开展农村集体资产清查。资源性资产清查要与土地、林地、草原等不动产登记、自然资源确权登记工作相衔接，充分利用已有登记成果、森林资源档案等，减少和避免重复劳动。农村集体经济组织所属企业，包括全资持有、直接或间接拥有半数以上表决权等能够控制的被投资企业，其资产也要纳入农村集体资产清产核资范围，并按照有关政策规定进行登记。</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（二）明确产权归属。</w:t>
      </w:r>
      <w:r>
        <w:rPr>
          <w:rFonts w:hint="eastAsia" w:ascii="仿宋_GB2312" w:hAnsi="仿宋_GB2312" w:eastAsia="仿宋_GB2312" w:cs="仿宋_GB2312"/>
          <w:sz w:val="32"/>
          <w:szCs w:val="32"/>
        </w:rPr>
        <w:t>根据不同集体资产的形成过程和历史沿革，从有利于管理实际出发，从兼顾国家与集体利益、维护农村社会稳定大局出发，按照尊重历史、兼顾现实、实事求是、依法依规的原则，将集体资产确权到乡镇、村、组集体经济组织成员集体，不能打乱原集体所有的界限。对于政府拨款、减免税费等形成的资产，要把所有权确到农村集体经济组织成员集体。</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（三）健全管理制度。</w:t>
      </w:r>
      <w:r>
        <w:rPr>
          <w:rFonts w:hint="eastAsia" w:ascii="仿宋_GB2312" w:hAnsi="仿宋_GB2312" w:eastAsia="仿宋_GB2312" w:cs="仿宋_GB2312"/>
          <w:sz w:val="32"/>
          <w:szCs w:val="32"/>
        </w:rPr>
        <w:t>要建立集体资产登记制度，将集体资产按照资源性、经营性、非经营性分类登记，及时记录增减变动情况；建立资产保管制度，明确资产管理和维护方式，以及责任主体等；建立资产使用制度，明确资产发包、租赁等经营行为必须履行民主程序，实行公开协商或招标投标，强化经济合同管理，清理纠正不合法、不合理的合同；建立资产处置制度，明确资产处置流程，规范收益分配管理。要建立健全年度资产清查制度和定期报告制度，以后每年末开展一次资产清查，掌握资产变动情况，清查结果及时上报。</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（四）搞好数据整理上报。</w:t>
      </w:r>
      <w:r>
        <w:rPr>
          <w:rFonts w:hint="eastAsia" w:ascii="仿宋_GB2312" w:hAnsi="仿宋_GB2312" w:eastAsia="仿宋_GB2312" w:cs="仿宋_GB2312"/>
          <w:sz w:val="32"/>
          <w:szCs w:val="32"/>
        </w:rPr>
        <w:t>加强农村集体资产监督管理平台建设，按照农业部统一部署，及时录入、校验、审核清产核资数据，逐级进行汇总上报。要加强管理平台的开发应用，将农村集体经济组织登记颁证、集体财务会计核算、集体资产清产核资等相关内容纳入平台管理，推动农村集体资产财务管理制度化、规范化、信息化。</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三、统筹安排工作进度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农业部等九部委统一安排，农村集体资产清产核资工作，自2017年开始，到2019年底基本完成，2017年12月31日为资产清查登记时点，前期已经部署并完成清产核资工作的地方，要按照本次部署和要求，做好资产清查核实和数据填报工作。全省农村集体资产清产核资工作分四个阶段实施：</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（一）准备阶段（2018年</w:t>
      </w:r>
      <w:r>
        <w:rPr>
          <w:rFonts w:ascii="楷体_GB2312" w:hAnsi="楷体_GB2312" w:eastAsia="楷体_GB2312" w:cs="楷体_GB2312"/>
          <w:sz w:val="32"/>
          <w:szCs w:val="32"/>
        </w:rPr>
        <w:t>5</w:t>
      </w:r>
      <w:r>
        <w:rPr>
          <w:rFonts w:hint="eastAsia" w:ascii="楷体_GB2312" w:hAnsi="楷体_GB2312" w:eastAsia="楷体_GB2312" w:cs="楷体_GB2312"/>
          <w:sz w:val="32"/>
          <w:szCs w:val="32"/>
        </w:rPr>
        <w:t>月中旬前）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市（含定州、辛集市）、县（市、区）明确工作部门，成立工作机构，乡（镇）、村、组不同层级集体经济组织抽调相关人员组建清产核资工作小组。逐级开展宣传培训，省级负责培训设区市、县（市、区）辅导员，设区市负责培训乡（镇）业务工作人员，县（市、区）、乡（镇）负责培训村(组)工作小组成员。设区市、县（市、区）要制定清产核资工作方案，明确工作路线图、时间表、责任人。乡（镇）、村、组制定清产核资实施方案，为清产核资工作奠定基础。清产核资工作要与村“两委”换届等重点工作搞好统筹协调。</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（二）清查核实阶段（2019年3月底前）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乡（镇）、村、组清产核资工作小组对集体资产开展全面清查核实，对清查核实结果进行公示，建立集体资产管理台账</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完善集体“三资”监管平台。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12月底前，基本完成集体资产清查任务。乡（镇）、村、组清产核资工作小组，对集体经济组织和集体所属企业资金资产资源进行清查核实，履行清查核实程序和要求，登记各种清查登记表，制定清查结果公示方案，开展清查结果公示，无异议后将清产核资结果报乡（镇）批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1月-2019年3月底，集体经济组织、集体所属企业按规定调整账目，确保账证、账实相符。乡（镇）、村、组对集体资产清产核资登记表进行整理、汇集，分别制作乡（镇）、村、组“资产负债表”“资源性资产清查登记总表”。</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（三）汇总上报数据阶段（2019年6月底前）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乡（镇）汇总集体经济组织“资产负债表”“资源性资产清查登记总表”（乡、村、组分别汇总），经乡（镇）农经等相关部门校验核对无误后，以乡（镇）政府名义报送县（市、区）党委、政府；县（市、区）汇总乡（镇）报表，经农经主管部门会同国土资源等部门审核无误后，以县（市、区）党委、政府名义报市委、市政府；设区市汇总县（市、区）报表，经农经主管部门会同相关部门再次审核无误后，于2019年4月底前以市委、市政府名义报省委省政府农村工作领导小组办公室；省级汇总设区市报表并向农业部上报清产核资结果数据。</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（四）建章立制阶段（2019年12月底前）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2019年7月-2019年10月，组织市、县开展督导检查，完善数据，建章立制，总结工作。按国家部署，开展成果验收。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2019年11月-2019年12月，全面总结，11月底前各设区市以市委、市政府名义上报清产核资报告（含汇总数据），12月底前以省政府名义向农业部上报清产核资报告。</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四、切实加强组织领导</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（一）强化工作领导和协调。</w:t>
      </w:r>
      <w:r>
        <w:rPr>
          <w:rFonts w:hint="eastAsia" w:ascii="仿宋_GB2312" w:hAnsi="仿宋_GB2312" w:eastAsia="仿宋_GB2312" w:cs="仿宋_GB2312"/>
          <w:sz w:val="32"/>
          <w:szCs w:val="32"/>
        </w:rPr>
        <w:t>农村集体资产清产核资工作是做好整个农村集体产权制度改革的基础，也是第一场硬仗。各级党委、政府要统一作出安排，主要负责同志要亲自挂帅，明确主体责任，一级压一级、层层抓落实。在省委省政府农村工作领导小组统一领导下，由省委省政府农村工作领导小组办公室牵头建立相关部门组成的联席会议制度，统筹负责全省清产核资工作，人员从相关部门抽调。县级党委、政府负责组织实施，农经主管部门负责具体落实。各级农工、农业（农经）、财政、国土资源、水利、林业、教育、文化、卫生计生、体育等相关部门要密切配合，成立相应的清产核资工作领导机构，明确任务分工、落实工作措施；要建立工作联系制度，定期将工作进度、经验做法和有关问题向上级清产核资工作领导机构报告；要创造保障条件，将清产核资工作经费纳入同级财政预算，配齐配强工作人员，确保清产核资工作稳妥有序推进。</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（二）统筹推进清产核资和村干部任期与离任审计。</w:t>
      </w:r>
      <w:r>
        <w:rPr>
          <w:rFonts w:hint="eastAsia" w:ascii="仿宋_GB2312" w:hAnsi="仿宋_GB2312" w:eastAsia="仿宋_GB2312" w:cs="仿宋_GB2312"/>
          <w:sz w:val="32"/>
          <w:szCs w:val="32"/>
        </w:rPr>
        <w:t>我省农村“两委”换届工作是当前的重要任务，要将农村集体资产清产核资工作与村“两委”干部任期与离任经济责任专项审计工作有机结合起来，实行成果互认互用，做到两促进、两不误。对财务管理规范、清产核资基础较好的村，要坚持与专项审计统筹进行，先期完成工作任务；对问题突出的集体财务混乱村，要以专项审计为手段，优先安排、集中力量搞好审计，为清产核资工作打好基础；对清产核资中发现的存在严重侵占集体资金资产、村级收支管理混乱、违反规定大额大量借债等突出问题的村，县、乡要组织进行重点审计。在开展村干部任期和离任经济责任专项审计中，要注意运用好村级集体资产变动、投资及收益、债务及偿还、资产出租及收益、资源发包及收益等清产核资成果，科学合理地确定村干部完成任期内经济责任目标和执行财务法规制度情况。</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（三）认真处理清产核资工作中发现的问题。</w:t>
      </w:r>
      <w:r>
        <w:rPr>
          <w:rFonts w:hint="eastAsia" w:ascii="仿宋_GB2312" w:hAnsi="仿宋_GB2312" w:eastAsia="仿宋_GB2312" w:cs="仿宋_GB2312"/>
          <w:sz w:val="32"/>
          <w:szCs w:val="32"/>
        </w:rPr>
        <w:t>对没有登记入账或者核算不准确的，要按照《农村集体资产清产核资办法》有关规定及时登记入账或者调整账目；对长期借出或者未按规定手续租赁转让的，要清理收回或者补办手续；对侵占集体资金和资产的，要如数退赔，涉及违规违纪的移交纪检监察机关处理，涉嫌犯罪的移交司法机关处理。要结合此次清产核资工作，组织力量对集体财务管理混乱的村进行集中清理整顿，防止和纠正发生在群众身边的腐败行为。</w:t>
      </w:r>
    </w:p>
    <w:p>
      <w:pPr>
        <w:spacing w:line="560" w:lineRule="exact"/>
        <w:ind w:firstLine="640" w:firstLineChars="200"/>
        <w:rPr>
          <w:rFonts w:ascii="仿宋_GB2312" w:hAnsi="仿宋" w:eastAsia="仿宋_GB2312"/>
          <w:sz w:val="32"/>
          <w:szCs w:val="32"/>
        </w:rPr>
      </w:pPr>
      <w:r>
        <w:rPr>
          <w:rFonts w:hint="eastAsia" w:ascii="楷体_GB2312" w:hAnsi="楷体_GB2312" w:eastAsia="楷体_GB2312" w:cs="楷体_GB2312"/>
          <w:sz w:val="32"/>
          <w:szCs w:val="32"/>
        </w:rPr>
        <w:t>（四）加强宣传督导。</w:t>
      </w:r>
      <w:r>
        <w:rPr>
          <w:rFonts w:hint="eastAsia" w:ascii="仿宋_GB2312" w:hAnsi="仿宋" w:eastAsia="仿宋_GB2312"/>
          <w:sz w:val="32"/>
          <w:szCs w:val="32"/>
        </w:rPr>
        <w:t>各级党委、政府要组织相关部门干部深入基层，做好政策宣传和业务培训，用群众听得明白的语言、看了清楚的典型，解读好政策精神和工作要求，动员发动广大农民群众理解、支持和参与清产核资工作。省农村工作领导小组办公室将组织相关部门成立专项督查组，赴地方进行督导调研，及时总结经验、发现和解决问题，确保我省清产核资工作稳步顺利推进。</w:t>
      </w: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附件：1.河北省农村集体资产清产核资实施办法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2.农村集体资产清产核资报表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3.农村集体资产清产核资报表填报说明</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省农工办          省农业厅         省财政厅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省国土厅          省水利厅         省林业厅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省教育厅          省文化厅       省卫生计生委</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省体育局</w:t>
      </w:r>
    </w:p>
    <w:p>
      <w:pPr>
        <w:spacing w:line="59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2018年3月19日</w:t>
      </w: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7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河北省农村集体资产清产核资实施办法</w:t>
      </w:r>
    </w:p>
    <w:p>
      <w:pPr>
        <w:rPr>
          <w:rFonts w:ascii="仿宋_GB2312" w:hAnsi="仿宋_GB2312" w:eastAsia="仿宋_GB2312" w:cs="仿宋_GB2312"/>
          <w:b/>
          <w:bCs/>
          <w:sz w:val="32"/>
          <w:szCs w:val="32"/>
        </w:rPr>
      </w:pPr>
    </w:p>
    <w:p>
      <w:pPr>
        <w:tabs>
          <w:tab w:val="left" w:pos="1800"/>
        </w:tabs>
        <w:jc w:val="center"/>
        <w:rPr>
          <w:rFonts w:hint="eastAsia" w:ascii="黑体" w:hAnsi="黑体" w:eastAsia="黑体" w:cs="仿宋_GB2312"/>
          <w:bCs/>
          <w:sz w:val="32"/>
          <w:szCs w:val="32"/>
        </w:rPr>
      </w:pPr>
      <w:r>
        <w:rPr>
          <w:rFonts w:hint="eastAsia" w:ascii="黑体" w:hAnsi="黑体" w:eastAsia="黑体" w:cs="仿宋_GB2312"/>
          <w:bCs/>
          <w:sz w:val="32"/>
          <w:szCs w:val="32"/>
        </w:rPr>
        <w:t>第一章  总 则</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第一条 </w:t>
      </w:r>
      <w:r>
        <w:rPr>
          <w:rFonts w:hint="eastAsia" w:ascii="仿宋_GB2312" w:hAnsi="仿宋_GB2312" w:eastAsia="仿宋_GB2312" w:cs="仿宋_GB2312"/>
          <w:sz w:val="32"/>
          <w:szCs w:val="32"/>
        </w:rPr>
        <w:t xml:space="preserve"> 为做好农村集体资产清产核资工作，推进农村集体产权制度改革顺利开展，根据《中共中央国务院关于稳步推进农村集体产权制度改革的意见》（中发〔2016〕37号），农业部等九部门《农村集体资产清产核资办法》、中共河北省委、河北省人民政府《关于稳步推进农村集体产权制度改革的实施意见》等文件精神，结合河北实际，制定本实施办法。</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第二条 </w:t>
      </w:r>
      <w:r>
        <w:rPr>
          <w:rFonts w:hint="eastAsia" w:ascii="仿宋_GB2312" w:hAnsi="仿宋_GB2312" w:eastAsia="仿宋_GB2312" w:cs="仿宋_GB2312"/>
          <w:sz w:val="32"/>
          <w:szCs w:val="32"/>
        </w:rPr>
        <w:t xml:space="preserve"> 本办法所称农村集体资产清产核资，是指根据中央以及省委、省政府的统一部署，按照规定的要求和程序，组织农村集体经济组织进行存量资产清查和财务清理，依法认定集体经济组织各项资产损益，真实反映集体资产价值、认定集体积累资金并健全完善集体资产管理制度的活动。</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第三条</w:t>
      </w:r>
      <w:r>
        <w:rPr>
          <w:rFonts w:hint="eastAsia" w:ascii="仿宋_GB2312" w:hAnsi="仿宋_GB2312" w:eastAsia="仿宋_GB2312" w:cs="仿宋_GB2312"/>
          <w:sz w:val="32"/>
          <w:szCs w:val="32"/>
        </w:rPr>
        <w:t xml:space="preserve">  农村集体资产清产核资的主要内容是全面清查核实集体家底，明晰集体产权归属，健全完善集体资产管理长效机制，包括账务清理、资产清查、资产估价、价值重估、盈亏认定、数据汇总、完善制度等内容。</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第四条 </w:t>
      </w:r>
      <w:r>
        <w:rPr>
          <w:rFonts w:hint="eastAsia" w:ascii="仿宋_GB2312" w:hAnsi="仿宋_GB2312" w:eastAsia="仿宋_GB2312" w:cs="仿宋_GB2312"/>
          <w:sz w:val="32"/>
          <w:szCs w:val="32"/>
        </w:rPr>
        <w:t xml:space="preserve"> 清产核资工作要坚持民主、公开的原则，坚持依靠和发动群众，组织农民参与，接受农民监督，清查结果要向全体成员公示并经成员（代表）会议通过确认。</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第五条 </w:t>
      </w:r>
      <w:r>
        <w:rPr>
          <w:rFonts w:hint="eastAsia" w:ascii="仿宋_GB2312" w:hAnsi="仿宋_GB2312" w:eastAsia="仿宋_GB2312" w:cs="仿宋_GB2312"/>
          <w:sz w:val="32"/>
          <w:szCs w:val="32"/>
        </w:rPr>
        <w:t xml:space="preserve"> 清产核资登记时点为2017年12月31日，</w:t>
      </w:r>
      <w:r>
        <w:rPr>
          <w:rFonts w:hint="eastAsia" w:ascii="仿宋_GB2312" w:eastAsia="仿宋_GB2312"/>
          <w:sz w:val="32"/>
          <w:szCs w:val="32"/>
        </w:rPr>
        <w:t>在清查日采取倒轧的方式对清查核实结果进行调整。</w:t>
      </w:r>
    </w:p>
    <w:p>
      <w:pPr>
        <w:rPr>
          <w:rFonts w:ascii="仿宋_GB2312" w:eastAsia="仿宋_GB2312"/>
          <w:sz w:val="32"/>
          <w:szCs w:val="32"/>
        </w:rPr>
      </w:pPr>
      <w:r>
        <w:rPr>
          <w:rFonts w:hint="eastAsia" w:ascii="仿宋_GB2312" w:hAnsi="仿宋_GB2312" w:eastAsia="仿宋_GB2312" w:cs="仿宋_GB2312"/>
          <w:b/>
          <w:bCs/>
          <w:sz w:val="32"/>
          <w:szCs w:val="32"/>
        </w:rPr>
        <w:t xml:space="preserve">    第六条</w:t>
      </w:r>
      <w:r>
        <w:rPr>
          <w:rFonts w:hint="eastAsia" w:ascii="仿宋_GB2312" w:hAnsi="仿宋_GB2312" w:eastAsia="仿宋_GB2312" w:cs="仿宋_GB2312"/>
          <w:b/>
          <w:bCs/>
          <w:sz w:val="32"/>
          <w:szCs w:val="32"/>
          <w:lang w:val="en-US" w:eastAsia="zh-CN"/>
        </w:rPr>
        <w:t xml:space="preserve">  </w:t>
      </w:r>
      <w:r>
        <w:rPr>
          <w:rFonts w:hint="eastAsia" w:ascii="仿宋_GB2312" w:eastAsia="仿宋_GB2312"/>
          <w:sz w:val="32"/>
          <w:szCs w:val="32"/>
        </w:rPr>
        <w:t>建立年度资产清查制度和定期报告制度，以当年12月31日为登记时点，每年末开展一次资产清查，次年3月10日前将清查结果报送省农工办、省农业厅。</w:t>
      </w:r>
    </w:p>
    <w:p>
      <w:pPr>
        <w:tabs>
          <w:tab w:val="left" w:pos="1800"/>
        </w:tabs>
        <w:jc w:val="center"/>
        <w:rPr>
          <w:rFonts w:hint="eastAsia" w:ascii="黑体" w:hAnsi="黑体" w:eastAsia="黑体" w:cs="仿宋_GB2312"/>
          <w:bCs/>
          <w:sz w:val="32"/>
          <w:szCs w:val="32"/>
        </w:rPr>
      </w:pPr>
      <w:r>
        <w:rPr>
          <w:rFonts w:hint="eastAsia" w:ascii="黑体" w:hAnsi="黑体" w:eastAsia="黑体" w:cs="仿宋_GB2312"/>
          <w:bCs/>
          <w:sz w:val="32"/>
          <w:szCs w:val="32"/>
        </w:rPr>
        <w:t>第二章   清产核资工作范围及程序</w:t>
      </w:r>
    </w:p>
    <w:p>
      <w:pPr>
        <w:rPr>
          <w:rFonts w:hint="eastAsia" w:ascii="仿宋_GB2312" w:hAnsi="仿宋_GB2312" w:eastAsia="仿宋_GB2312" w:cs="仿宋_GB2312"/>
          <w:sz w:val="32"/>
          <w:szCs w:val="32"/>
        </w:rPr>
      </w:pPr>
      <w:r>
        <w:rPr>
          <w:rFonts w:hint="eastAsia" w:ascii="仿宋_GB2312" w:eastAsia="仿宋_GB2312"/>
          <w:b/>
          <w:bCs/>
          <w:sz w:val="32"/>
          <w:szCs w:val="32"/>
        </w:rPr>
        <w:t xml:space="preserve">    第七条</w:t>
      </w:r>
      <w:r>
        <w:rPr>
          <w:rFonts w:hint="eastAsia" w:ascii="仿宋_GB2312" w:hAnsi="仿宋_GB2312" w:eastAsia="仿宋_GB2312" w:cs="仿宋_GB2312"/>
          <w:sz w:val="32"/>
          <w:szCs w:val="32"/>
        </w:rPr>
        <w:t xml:space="preserve">  农村集体资产清产核资工作对象包括：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（一）乡（镇）、村、组集体经济组织，包括未建立村、组集体经济组织以及村、组集体经济组织不健全，代行集体资产管理职能的村民委员会（社区居民委员会）、村民小组。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（二）农村集体经济组织所属企业，包括全资持有、直接或间接拥有半数以上表决权等能够控制的被投资企业。</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集体经济组织无控制权的参股企业，由农村集体经济组织进行此项长期投资的清查。 </w:t>
      </w:r>
    </w:p>
    <w:p>
      <w:pPr>
        <w:tabs>
          <w:tab w:val="left" w:pos="1800"/>
        </w:tabs>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 xml:space="preserve">    第八条  </w:t>
      </w:r>
      <w:r>
        <w:rPr>
          <w:rFonts w:hint="eastAsia" w:ascii="仿宋_GB2312" w:hAnsi="仿宋_GB2312" w:eastAsia="仿宋_GB2312" w:cs="仿宋_GB2312"/>
          <w:sz w:val="32"/>
          <w:szCs w:val="32"/>
        </w:rPr>
        <w:t>农村集体资产清产核资的范围包括：</w:t>
      </w:r>
      <w:r>
        <w:rPr>
          <w:rFonts w:hint="eastAsia" w:ascii="仿宋_GB2312" w:hAnsi="仿宋_GB2312" w:eastAsia="仿宋_GB2312" w:cs="仿宋_GB2312"/>
          <w:bCs/>
          <w:sz w:val="32"/>
          <w:szCs w:val="32"/>
        </w:rPr>
        <w:t>土地、森林、山岭、草原、荒地、滩涂等资源性资产；用于经营的房屋、建筑物、机器设备、工具器具、农业基础设施（包括小型水利工程）、集体投资兴办的企业及其所持有的其他经济组织的资产份额、无形资产等经营性资产；用于公共服务的教育、科技、文化、卫生、体育等方面的非经营性资产。重点清查核实未承包到户的资源性资产和集体统一经营的经营性资产以及现金、债权债务等。</w:t>
      </w:r>
    </w:p>
    <w:p>
      <w:pPr>
        <w:tabs>
          <w:tab w:val="left" w:pos="1800"/>
        </w:tabs>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第九条 </w:t>
      </w:r>
      <w:r>
        <w:rPr>
          <w:rFonts w:hint="eastAsia" w:ascii="仿宋_GB2312" w:hAnsi="仿宋_GB2312" w:eastAsia="仿宋_GB2312" w:cs="仿宋_GB2312"/>
          <w:bCs/>
          <w:sz w:val="32"/>
          <w:szCs w:val="32"/>
        </w:rPr>
        <w:t xml:space="preserve"> 农村集体资产清产核资工作按照下列程序进行：</w:t>
      </w:r>
    </w:p>
    <w:p>
      <w:pPr>
        <w:tabs>
          <w:tab w:val="left" w:pos="1800"/>
        </w:tabs>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宣传发动。利用各种媒体以及通过印发明白纸、宣传手册等形式，广泛宣传开展农村集体产权制度改革的重大意义，宣传进行清产核资的必要性，使乡村干部和广大群众提高认识，激发干部群众参与改革的积极性、主动性。</w:t>
      </w:r>
    </w:p>
    <w:p>
      <w:pPr>
        <w:tabs>
          <w:tab w:val="left" w:pos="1800"/>
        </w:tabs>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（二）成立机构。根据乡（镇）、村、组集体经济组织集体资产情况，成立由乡（镇）、村、组、企业干部、财务人员、村务监督委员会成员（或民主理财小组成员）、成员代表等参加的清产核资工作小组。</w:t>
      </w:r>
    </w:p>
    <w:p>
      <w:pPr>
        <w:tabs>
          <w:tab w:val="left" w:pos="1800"/>
        </w:tabs>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（三）开展培训。根据《河北省农村集体资产清产核资实施办法》层层开展培训。省级加强对设区市、县（市、区）师资的培训，县（市、区）、乡（镇）负责对村级清产核资工作小组及有关人员进行培训。</w:t>
      </w:r>
    </w:p>
    <w:p>
      <w:pPr>
        <w:tabs>
          <w:tab w:val="left" w:pos="1800"/>
        </w:tabs>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（四）制定方案。乡（镇）、村、组集体经济组织制定清产核资实施方案，并报乡（镇）政府备案。实施方案应包括：清产核资工作机构、工作目标、工作内容、实施步骤、时间安排、保障措施等。 </w:t>
      </w:r>
    </w:p>
    <w:p>
      <w:pPr>
        <w:tabs>
          <w:tab w:val="left" w:pos="1800"/>
        </w:tabs>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（五）清查核实。乡（镇）、村、组集体经济组织清产核资工作小组在确定权属的基础上，按照实施方案组织实施，对集体经济组织在规定时点的集体资金、资产、资源进行全面清查核实，造册登记。</w:t>
      </w:r>
    </w:p>
    <w:p>
      <w:pPr>
        <w:tabs>
          <w:tab w:val="left" w:pos="1800"/>
        </w:tabs>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县（市、区）、乡（镇）农经主管部门要加强对集体经济组织清产核资的指导、服务，必要时及时开展专项审计，解决清产核资中遇到的有关问题。清产核资工作要利用好村“两委”任期和离任经济责任专项审计结果，有条件的地方可与任期和离任经济责任审计相结合，统筹推进。</w:t>
      </w:r>
    </w:p>
    <w:p>
      <w:pPr>
        <w:tabs>
          <w:tab w:val="left" w:pos="1800"/>
        </w:tabs>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两次公示。集体经济组织清查核实完成后，要将清查核实结果向集体经济组织成员公示（其中，盘盈、盘亏、报废、毁损的资产和核销的债权债务应逐项公示），公示期不少于7天。群众有异议的，整改后进行再次公示，公示期不少于5天。公示期间应安排专人答疑解惑。</w:t>
      </w:r>
    </w:p>
    <w:p>
      <w:pPr>
        <w:tabs>
          <w:tab w:val="left" w:pos="1800"/>
        </w:tabs>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（七）确认结果。农村集体经济组织召开成员（代表）会议，确认通过公示后的清产核资结果。将确认后的清产核资结果报乡（镇）农经管理机构审核、批准。</w:t>
      </w:r>
    </w:p>
    <w:p>
      <w:pPr>
        <w:tabs>
          <w:tab w:val="left" w:pos="1800"/>
        </w:tabs>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（八）账务调整。集体经济组织根据乡（镇）审核批准的清产核资结果，调整盘盈、盘亏、报废、毁损的资产和核销债权债务相关账务，完善相关清查登记表。</w:t>
      </w:r>
    </w:p>
    <w:p>
      <w:pPr>
        <w:tabs>
          <w:tab w:val="left" w:pos="1800"/>
        </w:tabs>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（九）建立台账。在健全完善农村集体财务会计核算制度的基础上，建立健全集体资产管理台账，完善农村集体资产实物形态管理，实现集体资产全程化监管。</w:t>
      </w:r>
    </w:p>
    <w:p>
      <w:pPr>
        <w:tabs>
          <w:tab w:val="left" w:pos="1800"/>
        </w:tabs>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（十）纳入平台。建立健全农村集体“三资”管理信息化平台。乡（镇）农经管理机构或农村集体经济组织将清产核资结果录入农村集体三资信息化平台，实现三资管理电算化、网络化。</w:t>
      </w:r>
    </w:p>
    <w:p>
      <w:pPr>
        <w:tabs>
          <w:tab w:val="left" w:pos="1800"/>
        </w:tabs>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一）汇总上报。农村集体经济组织应按规定时间，将清产核资上报表（资产负债表、资源性资产清查登记总表）及清产核资报告上报乡（镇）农经管理机构。乡（镇）农经管理机构将所属各层级农村集体经济组织清产核资汇总结果（资产负债汇总表、资源性资产清查登记汇总表）逐级上报。</w:t>
      </w:r>
    </w:p>
    <w:p>
      <w:pPr>
        <w:tabs>
          <w:tab w:val="left" w:pos="1800"/>
        </w:tabs>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（十二）完善制度。对清产核资中发现的问题，提出整改措施和建议，健全完善制度。对造成资产损失的，应依法追究有关责任人责任。</w:t>
      </w:r>
    </w:p>
    <w:p>
      <w:pPr>
        <w:tabs>
          <w:tab w:val="left" w:pos="1800"/>
        </w:tabs>
        <w:jc w:val="center"/>
        <w:rPr>
          <w:rFonts w:hint="eastAsia" w:ascii="黑体" w:hAnsi="黑体" w:eastAsia="黑体" w:cs="仿宋_GB2312"/>
          <w:bCs/>
          <w:sz w:val="32"/>
          <w:szCs w:val="32"/>
        </w:rPr>
      </w:pPr>
      <w:r>
        <w:rPr>
          <w:rFonts w:hint="eastAsia" w:ascii="黑体" w:hAnsi="黑体" w:eastAsia="黑体" w:cs="仿宋_GB2312"/>
          <w:bCs/>
          <w:sz w:val="32"/>
          <w:szCs w:val="32"/>
        </w:rPr>
        <w:t>第三章 集体资产权属确定</w:t>
      </w:r>
    </w:p>
    <w:p>
      <w:pPr>
        <w:tabs>
          <w:tab w:val="left" w:pos="1800"/>
        </w:tabs>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第十条 </w:t>
      </w:r>
      <w:r>
        <w:rPr>
          <w:rFonts w:hint="eastAsia" w:ascii="仿宋_GB2312" w:hAnsi="仿宋_GB2312" w:eastAsia="仿宋_GB2312" w:cs="仿宋_GB2312"/>
          <w:bCs/>
          <w:sz w:val="32"/>
          <w:szCs w:val="32"/>
        </w:rPr>
        <w:t xml:space="preserve"> 农村集体经济组织是农村集体土地、集体所属企业等集体所有资产的所有者代表，农村集体经济组织作为特别法人，具有管理集体资产、开发集体资源、发展集体经济、服务集体成员的基本功能。</w:t>
      </w:r>
    </w:p>
    <w:p>
      <w:pPr>
        <w:tabs>
          <w:tab w:val="left" w:pos="1800"/>
        </w:tabs>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第十一条 </w:t>
      </w:r>
      <w:r>
        <w:rPr>
          <w:rFonts w:hint="eastAsia" w:ascii="仿宋_GB2312" w:hAnsi="仿宋_GB2312" w:eastAsia="仿宋_GB2312" w:cs="仿宋_GB2312"/>
          <w:bCs/>
          <w:sz w:val="32"/>
          <w:szCs w:val="32"/>
        </w:rPr>
        <w:t xml:space="preserve"> 根据农村集体经济发展需要和资产状况实际，建立健全农村集体经济组织。县级农业行政管理部门负责向农村集体经济组织发放组织登记证书，农村集体经济组织据此向有关部门办理银行开户等手续。</w:t>
      </w:r>
    </w:p>
    <w:p>
      <w:pPr>
        <w:tabs>
          <w:tab w:val="left" w:pos="1800"/>
        </w:tabs>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第十二条 </w:t>
      </w:r>
      <w:r>
        <w:rPr>
          <w:rFonts w:hint="eastAsia" w:ascii="仿宋_GB2312" w:hAnsi="仿宋_GB2312" w:eastAsia="仿宋_GB2312" w:cs="仿宋_GB2312"/>
          <w:bCs/>
          <w:sz w:val="32"/>
          <w:szCs w:val="32"/>
        </w:rPr>
        <w:t xml:space="preserve"> 政府拨款、减免税费等形成的资产，以及集体接受单位和个人捐赠的资产归农村集体经济组织所有。对由政府拨款和集体经济组织以外单位或个人投入形成的资产，属于混合所有制的，按各方出资比例或约定的股权比例确认所有权。 </w:t>
      </w:r>
    </w:p>
    <w:p>
      <w:pPr>
        <w:tabs>
          <w:tab w:val="left" w:pos="1800"/>
        </w:tabs>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第十三条</w:t>
      </w:r>
      <w:r>
        <w:rPr>
          <w:rFonts w:hint="eastAsia" w:ascii="仿宋_GB2312" w:hAnsi="仿宋_GB2312" w:eastAsia="仿宋_GB2312" w:cs="仿宋_GB2312"/>
          <w:bCs/>
          <w:sz w:val="32"/>
          <w:szCs w:val="32"/>
        </w:rPr>
        <w:t xml:space="preserve">  集体经济组织投资兴办企业形成的资产归农村集体经济组织所有，已经改制的应严格依法确认所有权。以集体经济组织或村民委员会名义使用银行贷款、借款等借贷资金举办企业形成的资产，归集体经济组织所有。</w:t>
      </w:r>
    </w:p>
    <w:p>
      <w:pPr>
        <w:tabs>
          <w:tab w:val="left" w:pos="1800"/>
        </w:tabs>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第十四条</w:t>
      </w:r>
      <w:r>
        <w:rPr>
          <w:rFonts w:hint="eastAsia" w:ascii="仿宋_GB2312" w:hAnsi="仿宋_GB2312" w:eastAsia="仿宋_GB2312" w:cs="仿宋_GB2312"/>
          <w:bCs/>
          <w:sz w:val="32"/>
          <w:szCs w:val="32"/>
        </w:rPr>
        <w:t xml:space="preserve">  集体资产所有权应按照尊重历史、兼顾现实、实事求是、依法依规的原则，确权登记到相应的集体经济组织。</w:t>
      </w:r>
    </w:p>
    <w:p>
      <w:pPr>
        <w:tabs>
          <w:tab w:val="left" w:pos="1800"/>
        </w:tabs>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属于行政村（原生产大队）农民集体所有的，应把集体资产所有权确权到村集体经济组织，不具备成立集体经济组织条件的，由村民委员会代表行使所有权。</w:t>
      </w:r>
    </w:p>
    <w:p>
      <w:pPr>
        <w:tabs>
          <w:tab w:val="left" w:pos="1800"/>
        </w:tabs>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分别属于村内两个以上（原生产小队）农民集体所有的，应把集体资产所有权确权到村内各该集体经济组织，不具备成立集体经济组织条件的，由村民小组代行所有权。</w:t>
      </w:r>
    </w:p>
    <w:p>
      <w:pPr>
        <w:tabs>
          <w:tab w:val="left" w:pos="1800"/>
        </w:tabs>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属于乡（镇）农民集体所有的，应把集体资产所有权确权到乡（镇）集体经济组织。</w:t>
      </w:r>
    </w:p>
    <w:p>
      <w:pPr>
        <w:tabs>
          <w:tab w:val="left" w:pos="1800"/>
        </w:tabs>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第十五条  </w:t>
      </w:r>
      <w:r>
        <w:rPr>
          <w:rFonts w:hint="eastAsia" w:ascii="仿宋_GB2312" w:hAnsi="仿宋_GB2312" w:eastAsia="仿宋_GB2312" w:cs="仿宋_GB2312"/>
          <w:bCs/>
          <w:sz w:val="32"/>
          <w:szCs w:val="32"/>
        </w:rPr>
        <w:t>对集体经济组织资产所有权有争议的，除法律、法规有规定的以外，可协商解决。协商不成或清产核资期间确实难以确权的，可列为待界定资产，也可以通过仲裁或司法程序解决。</w:t>
      </w:r>
    </w:p>
    <w:p>
      <w:pPr>
        <w:tabs>
          <w:tab w:val="left" w:pos="1800"/>
        </w:tabs>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第十六条 </w:t>
      </w:r>
      <w:r>
        <w:rPr>
          <w:rFonts w:hint="eastAsia" w:ascii="仿宋_GB2312" w:hAnsi="仿宋_GB2312" w:eastAsia="仿宋_GB2312" w:cs="仿宋_GB2312"/>
          <w:bCs/>
          <w:sz w:val="32"/>
          <w:szCs w:val="32"/>
        </w:rPr>
        <w:t xml:space="preserve"> 集体经济组织资产所有权界定工作由县级政府组织实施。</w:t>
      </w:r>
    </w:p>
    <w:p>
      <w:pPr>
        <w:tabs>
          <w:tab w:val="left" w:pos="1800"/>
        </w:tabs>
        <w:jc w:val="center"/>
        <w:rPr>
          <w:rFonts w:hint="eastAsia" w:ascii="黑体" w:hAnsi="黑体" w:eastAsia="黑体" w:cs="仿宋_GB2312"/>
          <w:bCs/>
          <w:sz w:val="32"/>
          <w:szCs w:val="32"/>
        </w:rPr>
      </w:pPr>
      <w:r>
        <w:rPr>
          <w:rFonts w:hint="eastAsia" w:ascii="黑体" w:hAnsi="黑体" w:eastAsia="黑体" w:cs="仿宋_GB2312"/>
          <w:bCs/>
          <w:sz w:val="32"/>
          <w:szCs w:val="32"/>
        </w:rPr>
        <w:t>第四章    账务清理</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第十七条 </w:t>
      </w:r>
      <w:r>
        <w:rPr>
          <w:rFonts w:hint="eastAsia" w:ascii="仿宋_GB2312" w:hAnsi="仿宋_GB2312" w:eastAsia="仿宋_GB2312" w:cs="仿宋_GB2312"/>
          <w:bCs/>
          <w:sz w:val="32"/>
          <w:szCs w:val="32"/>
        </w:rPr>
        <w:t>账务清理应按照《村集体经济组织会计制度》 规定的科目，清查核对会计科目设置和账目设置是否正确，科目、账目设置不正确的，应按照会计制度进行整改完善。</w:t>
      </w:r>
    </w:p>
    <w:p>
      <w:pPr>
        <w:keepNext w:val="0"/>
        <w:keepLines w:val="0"/>
        <w:pageBreakBefore w:val="0"/>
        <w:widowControl w:val="0"/>
        <w:tabs>
          <w:tab w:val="left" w:pos="1800"/>
        </w:tabs>
        <w:kinsoku/>
        <w:wordWrap/>
        <w:overflowPunct/>
        <w:topLinePunct w:val="0"/>
        <w:autoSpaceDE/>
        <w:autoSpaceDN/>
        <w:bidi w:val="0"/>
        <w:adjustRightInd/>
        <w:snapToGrid/>
        <w:ind w:firstLine="643"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第十八条</w:t>
      </w:r>
      <w:r>
        <w:rPr>
          <w:rFonts w:hint="eastAsia" w:ascii="仿宋_GB2312" w:hAnsi="仿宋_GB2312" w:eastAsia="仿宋_GB2312" w:cs="仿宋_GB2312"/>
          <w:bCs/>
          <w:sz w:val="32"/>
          <w:szCs w:val="32"/>
        </w:rPr>
        <w:t xml:space="preserve"> 集体经济组织应全面清理核对会计核算业务，清查核实序时账、分类账、辅助账以及各类凭证，保证账务处理正确，做到账账相符、账证相符，财务数据全面准确。</w:t>
      </w:r>
    </w:p>
    <w:p>
      <w:pPr>
        <w:keepNext w:val="0"/>
        <w:keepLines w:val="0"/>
        <w:pageBreakBefore w:val="0"/>
        <w:widowControl w:val="0"/>
        <w:tabs>
          <w:tab w:val="left" w:pos="1800"/>
        </w:tabs>
        <w:kinsoku/>
        <w:wordWrap/>
        <w:overflowPunct/>
        <w:topLinePunct w:val="0"/>
        <w:autoSpaceDE/>
        <w:autoSpaceDN/>
        <w:bidi w:val="0"/>
        <w:adjustRightInd/>
        <w:snapToGrid/>
        <w:ind w:firstLine="643"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第十九条</w:t>
      </w:r>
      <w:r>
        <w:rPr>
          <w:rFonts w:hint="eastAsia" w:ascii="仿宋_GB2312" w:hAnsi="仿宋_GB2312" w:eastAsia="仿宋_GB2312" w:cs="仿宋_GB2312"/>
          <w:bCs/>
          <w:sz w:val="32"/>
          <w:szCs w:val="32"/>
        </w:rPr>
        <w:t xml:space="preserve"> 账务清理以清产核资工作基准点为时点，对清理出来的由于会计技术性差错因素造成的错账，应当根据会计制度规定，自行进行账务调整，并报乡（镇）农经管理机构备案。 </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第二十条</w:t>
      </w:r>
      <w:r>
        <w:rPr>
          <w:rFonts w:hint="eastAsia" w:ascii="仿宋_GB2312" w:hAnsi="仿宋_GB2312" w:eastAsia="仿宋_GB2312" w:cs="仿宋_GB2312"/>
          <w:bCs/>
          <w:sz w:val="32"/>
          <w:szCs w:val="32"/>
        </w:rPr>
        <w:t xml:space="preserve"> 集体经济组织应对银行账户进行清理核查，对不符合规定的账户进行清理规范。村集体应以每个集体经济组织为单位开设银行账户，保障集体经济组织成员的财产权益。</w:t>
      </w:r>
    </w:p>
    <w:p>
      <w:pPr>
        <w:keepNext w:val="0"/>
        <w:keepLines w:val="0"/>
        <w:pageBreakBefore w:val="0"/>
        <w:widowControl w:val="0"/>
        <w:tabs>
          <w:tab w:val="left" w:pos="1800"/>
        </w:tabs>
        <w:kinsoku/>
        <w:wordWrap/>
        <w:overflowPunct/>
        <w:topLinePunct w:val="0"/>
        <w:autoSpaceDE/>
        <w:autoSpaceDN/>
        <w:bidi w:val="0"/>
        <w:adjustRightInd/>
        <w:snapToGrid/>
        <w:ind w:firstLine="640"/>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第二十一条 </w:t>
      </w:r>
      <w:r>
        <w:rPr>
          <w:rFonts w:hint="eastAsia" w:ascii="仿宋_GB2312" w:hAnsi="仿宋_GB2312" w:eastAsia="仿宋_GB2312" w:cs="仿宋_GB2312"/>
          <w:bCs/>
          <w:sz w:val="32"/>
          <w:szCs w:val="32"/>
        </w:rPr>
        <w:t>集体经济组织应对所使用的票据进行清理，对于票据使用不规范的，应积极进行整改，并按照有关规定完善健全票据管理制度，杜绝白条入账、无据入账。</w:t>
      </w:r>
    </w:p>
    <w:p>
      <w:pPr>
        <w:keepNext w:val="0"/>
        <w:keepLines w:val="0"/>
        <w:pageBreakBefore w:val="0"/>
        <w:widowControl w:val="0"/>
        <w:tabs>
          <w:tab w:val="left" w:pos="1800"/>
        </w:tabs>
        <w:kinsoku/>
        <w:wordWrap/>
        <w:overflowPunct/>
        <w:topLinePunct w:val="0"/>
        <w:autoSpaceDE/>
        <w:autoSpaceDN/>
        <w:bidi w:val="0"/>
        <w:adjustRightInd/>
        <w:snapToGrid/>
        <w:jc w:val="center"/>
        <w:textAlignment w:val="auto"/>
        <w:rPr>
          <w:rFonts w:hint="eastAsia" w:ascii="黑体" w:hAnsi="黑体" w:eastAsia="黑体" w:cs="仿宋_GB2312"/>
          <w:bCs/>
          <w:sz w:val="32"/>
          <w:szCs w:val="32"/>
        </w:rPr>
      </w:pPr>
      <w:r>
        <w:rPr>
          <w:rFonts w:hint="eastAsia" w:ascii="黑体" w:hAnsi="黑体" w:eastAsia="黑体" w:cs="仿宋_GB2312"/>
          <w:bCs/>
          <w:sz w:val="32"/>
          <w:szCs w:val="32"/>
        </w:rPr>
        <w:t>第五章   集体经济组织本级清查</w:t>
      </w:r>
    </w:p>
    <w:p>
      <w:pPr>
        <w:keepNext w:val="0"/>
        <w:keepLines w:val="0"/>
        <w:pageBreakBefore w:val="0"/>
        <w:widowControl w:val="0"/>
        <w:tabs>
          <w:tab w:val="left" w:pos="1800"/>
        </w:tabs>
        <w:kinsoku/>
        <w:wordWrap/>
        <w:overflowPunct/>
        <w:topLinePunct w:val="0"/>
        <w:autoSpaceDE/>
        <w:autoSpaceDN/>
        <w:bidi w:val="0"/>
        <w:adjustRightInd/>
        <w:snapToGrid/>
        <w:ind w:firstLine="643"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第二十二条   </w:t>
      </w:r>
      <w:r>
        <w:rPr>
          <w:rFonts w:hint="eastAsia" w:ascii="仿宋_GB2312" w:hAnsi="仿宋_GB2312" w:eastAsia="仿宋_GB2312" w:cs="仿宋_GB2312"/>
          <w:bCs/>
          <w:sz w:val="32"/>
          <w:szCs w:val="32"/>
        </w:rPr>
        <w:t>集体经济组织本级的清查是指对乡（镇）、村、组集体经济组织本级经营性资产、资源性资产和非经营性资产的全面清查，不含集体经济组织所属企业经营性资产的清查。</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第二十三条</w:t>
      </w:r>
      <w:r>
        <w:rPr>
          <w:rFonts w:hint="eastAsia" w:ascii="仿宋_GB2312" w:hAnsi="仿宋_GB2312" w:eastAsia="仿宋_GB2312" w:cs="仿宋_GB2312"/>
          <w:bCs/>
          <w:sz w:val="32"/>
          <w:szCs w:val="32"/>
        </w:rPr>
        <w:t xml:space="preserve"> 流动资产清查。流动资产清查主要包括现金、银行存款、各种应收款项、短期投资和存货的清查。清查中发现流动资产管理存在问题的，应查清问题并依法依规进行处理，将处理整改后的情况纳入清查结果。</w:t>
      </w:r>
    </w:p>
    <w:p>
      <w:pPr>
        <w:keepNext w:val="0"/>
        <w:keepLines w:val="0"/>
        <w:pageBreakBefore w:val="0"/>
        <w:widowControl w:val="0"/>
        <w:tabs>
          <w:tab w:val="left" w:pos="1800"/>
        </w:tabs>
        <w:kinsoku/>
        <w:wordWrap/>
        <w:overflowPunct/>
        <w:topLinePunct w:val="0"/>
        <w:autoSpaceDE/>
        <w:autoSpaceDN/>
        <w:bidi w:val="0"/>
        <w:adjustRightInd/>
        <w:snapToGrid/>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现金清查。清查核对库存现金与现金账面余额,对清查出的现金账面数与核实实际数，由集体经济组织在“货币资金清查登记表”上进行登记。清查发现账面数与核实数不相符的，要查明原因，据实编制凭证，按程序审批后调整账簿。</w:t>
      </w:r>
    </w:p>
    <w:p>
      <w:pPr>
        <w:keepNext w:val="0"/>
        <w:keepLines w:val="0"/>
        <w:pageBreakBefore w:val="0"/>
        <w:widowControl w:val="0"/>
        <w:tabs>
          <w:tab w:val="left" w:pos="1800"/>
        </w:tabs>
        <w:kinsoku/>
        <w:wordWrap/>
        <w:overflowPunct/>
        <w:topLinePunct w:val="0"/>
        <w:autoSpaceDE/>
        <w:autoSpaceDN/>
        <w:bidi w:val="0"/>
        <w:adjustRightInd/>
        <w:snapToGrid/>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银行存款清查。清查核对银行存款账面余额与开户行出具的存款对账单余额，对清查出的账面存款数与银行对账单存款数在“货币资金清查登记表”上进行登记。清查发现余额不相符的，应查明原因，对未达账项引起的，编制《银行存款余额调节表》进行调整；对于其他原因引起的，应区分情况按程序报批后进行账务处理。</w:t>
      </w:r>
    </w:p>
    <w:p>
      <w:pPr>
        <w:keepNext w:val="0"/>
        <w:keepLines w:val="0"/>
        <w:pageBreakBefore w:val="0"/>
        <w:widowControl w:val="0"/>
        <w:tabs>
          <w:tab w:val="left" w:pos="1800"/>
        </w:tabs>
        <w:kinsoku/>
        <w:wordWrap/>
        <w:overflowPunct/>
        <w:topLinePunct w:val="0"/>
        <w:autoSpaceDE/>
        <w:autoSpaceDN/>
        <w:bidi w:val="0"/>
        <w:adjustRightInd/>
        <w:snapToGrid/>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应收款清查。应收款的清查主要核实集体经济组织发生的对外单位和个人的各项应收款项和暂付款项。应根据应收款的账面余额，采取面询、函证等方式逐一与对方单位和个人核对，取得书面核对凭证，查清债务人、金额、形成原因、到期时间和审批人等，并以双方记账金额一致为准，将应收款账面数与对方单位个人认可的应收款数额在“应收款项清查登记表”上进行登记。对登记日应收未收的款项，依据合同、协议或政策文件确认，并取得债务人书面同意；对有争议的债权，要查证、核实，明确债权关系；对因债务单位撤销，或债务人死亡，且既无遗产清偿，又无义务承担人等原因，确实无法收回的款项，要明确责任，按照有关规定进行核销。因诉讼等原因处于不确定状态的债权，须单独说明。</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四）内部往来清查。清查核对集体经济组织与内部所属单位和农户的各种应收款与暂付款，根据内部往来明细账中登记的集体经济组织内部单位和农户的应收款和暂付款余额，逐一与单位和农户核对，取得书面核对凭证，查清金额、产生时间、到期期限等情况，将明细账账面余额与核对额在“应收款项清查登记表”或“短期借款、应付款项和长期借款及应付款等清查登记表”上进行登记。</w:t>
      </w:r>
    </w:p>
    <w:p>
      <w:pPr>
        <w:keepNext w:val="0"/>
        <w:keepLines w:val="0"/>
        <w:pageBreakBefore w:val="0"/>
        <w:widowControl w:val="0"/>
        <w:tabs>
          <w:tab w:val="left" w:pos="1800"/>
        </w:tabs>
        <w:kinsoku/>
        <w:wordWrap/>
        <w:overflowPunct/>
        <w:topLinePunct w:val="0"/>
        <w:autoSpaceDE/>
        <w:autoSpaceDN/>
        <w:bidi w:val="0"/>
        <w:adjustRightInd/>
        <w:snapToGrid/>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短期投资清查。清查核对一年以内对外投资的账面余额与原始凭证记载额，清查核实投资对象、投资期限、投资协议、投资分红等情况。对清查核实的清查数与实际数在“短期投资清查登记表”进行登记。对于账面数与实际数不相符的应查明原因，依法依规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库存物资清查。集体经济组织库存物资清查主要包括对化肥、种子、农药、燃料、原材料、机械零配件、低值易耗品、农产品和工业产品等（含在产品）的清查，清查核对库存物资账面类别和数额与实际库存物资类别和数额是否相符，</w:t>
      </w:r>
      <w:r>
        <w:rPr>
          <w:rFonts w:hint="eastAsia" w:ascii="仿宋_GB2312" w:eastAsia="仿宋_GB2312"/>
          <w:sz w:val="32"/>
          <w:szCs w:val="32"/>
        </w:rPr>
        <w:t>查清库存物资的类别、数量、金额、存放地点、保管人员等情况。</w:t>
      </w:r>
      <w:r>
        <w:rPr>
          <w:rFonts w:hint="eastAsia" w:ascii="仿宋_GB2312" w:hAnsi="仿宋_GB2312" w:eastAsia="仿宋_GB2312" w:cs="仿宋_GB2312"/>
          <w:bCs/>
          <w:sz w:val="32"/>
          <w:szCs w:val="32"/>
        </w:rPr>
        <w:t>应按照类别将清查数和实际核实数在“库存物资清查登记表”上进行登记。清查采取实地盘点方法，保管员必须在场并参加盘点工作。对清查中发现的积压、已毁损或需报废的存货，要查明原因，按照有关规定和程序妥善处理。</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第二十四条  </w:t>
      </w:r>
      <w:r>
        <w:rPr>
          <w:rFonts w:hint="eastAsia" w:ascii="仿宋_GB2312" w:hAnsi="仿宋_GB2312" w:eastAsia="仿宋_GB2312" w:cs="仿宋_GB2312"/>
          <w:bCs/>
          <w:sz w:val="32"/>
          <w:szCs w:val="32"/>
        </w:rPr>
        <w:t>固定资产的清查。</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一）固定资产的清查。主要是对使用年限在一年以上，单位价值在500元以上的房屋、建筑物、机器、设备、工具、器具、农业基础设施等的清查（单位价值低于500元但使用年限在一年以上的生产工具和设备也可列为固定资产）。在清查基础上，根据固定资产是否属于经营性资产，将账面数与实际核实数分别在“固定资产清查登记表（经营性固定资产）”和“固定资产清查登记表（非经营性固定资产）”上进行登记。</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二）固定资产重点清查固定资产原值、净值和已提折旧额，对未提折旧的应按规定提取折旧，对达到使用年限待报废的固定资产，经集体经济组织成员会议（代表会议）讨论同意，报乡（镇）农经机构备案后予以核销。</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（三）集体固定资产出租的，应清查固定资产使用情况，未登记入账的，与租入方核对并登记入账。</w:t>
      </w:r>
      <w:r>
        <w:rPr>
          <w:rFonts w:hint="eastAsia" w:ascii="仿宋_GB2312" w:eastAsia="仿宋_GB2312"/>
          <w:sz w:val="32"/>
          <w:szCs w:val="32"/>
        </w:rPr>
        <w:t>对租入的固定资产，要与出租方核对，并进行账外备查登记。</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（四）借出或未按规定程序批准转让的资产，应清理收回或补办手续。</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（五）清查后的固定资产，按照经营性固定资产和非经营性固定资产以及使用（在用、未使用等）情况，建立健全农村集体资源资产台账登记制度，逐步实现台账信息化管理。</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（六）未使用、不需用固定资产，应查清构建日期、使用时间和整体状况，提出利用、出售、待报废等处理意见。</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第二十五条 </w:t>
      </w:r>
      <w:r>
        <w:rPr>
          <w:rFonts w:hint="eastAsia" w:ascii="仿宋_GB2312" w:hAnsi="仿宋_GB2312" w:eastAsia="仿宋_GB2312" w:cs="仿宋_GB2312"/>
          <w:bCs/>
          <w:sz w:val="32"/>
          <w:szCs w:val="32"/>
        </w:rPr>
        <w:t xml:space="preserve"> 在建工程的清查。在建工程是集体经济组织进行工程建设、设备安装、农业基本建设设施大修理等发生的尚未完工或尚未竣工决算的支出。在建工程清查是根据在建工程明细账与合同，将在建工程分为经营性在建工程和非经营性在建工程进行清查。清查方法采取实地盘查方法，查清在建工程名称、建设单位、建设时间、建设地点、预算投资额、已投入资金及工程进度情况，由集体经济组织将账面情况与核实情况在“在建工程清查登记表（经营性在建工程）”“在建工程清查登记表（非经营性在建工程）”上进行登记。对于使用财政资金的基本建设，竣工财务决算要严格执行《基本建设财务规则》。</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第二十六条</w:t>
      </w:r>
      <w:r>
        <w:rPr>
          <w:rFonts w:hint="eastAsia" w:ascii="仿宋_GB2312" w:hAnsi="仿宋_GB2312" w:eastAsia="仿宋_GB2312" w:cs="仿宋_GB2312"/>
          <w:bCs/>
          <w:sz w:val="32"/>
          <w:szCs w:val="32"/>
        </w:rPr>
        <w:t xml:space="preserve"> 农业资产清查包括林木资产和牲畜（禽）资产清查。 </w:t>
      </w:r>
    </w:p>
    <w:p>
      <w:pPr>
        <w:keepNext w:val="0"/>
        <w:keepLines w:val="0"/>
        <w:pageBreakBefore w:val="0"/>
        <w:widowControl w:val="0"/>
        <w:tabs>
          <w:tab w:val="left" w:pos="1800"/>
        </w:tabs>
        <w:kinsoku/>
        <w:wordWrap/>
        <w:overflowPunct/>
        <w:topLinePunct w:val="0"/>
        <w:autoSpaceDE/>
        <w:autoSpaceDN/>
        <w:bidi w:val="0"/>
        <w:adjustRightInd/>
        <w:snapToGrid/>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（一）林木资产清查。清查林木资产账面数与实地核实数是否相符。林木资产主要是核实品种、数量和生长情况，据此结合账目核实价值，并将账面数与实地核实数在“林木资产清查登记表”上进行登记。</w:t>
      </w:r>
      <w:r>
        <w:rPr>
          <w:rFonts w:hint="eastAsia" w:ascii="仿宋_GB2312" w:eastAsia="仿宋_GB2312"/>
          <w:sz w:val="32"/>
          <w:szCs w:val="32"/>
        </w:rPr>
        <w:t>清查采取实地盘点方法，管理员必须在场并参与盘点工作。账面</w:t>
      </w:r>
      <w:r>
        <w:rPr>
          <w:rFonts w:hint="eastAsia" w:ascii="仿宋_GB2312" w:hAnsi="仿宋_GB2312" w:eastAsia="仿宋_GB2312" w:cs="仿宋_GB2312"/>
          <w:bCs/>
          <w:sz w:val="32"/>
          <w:szCs w:val="32"/>
        </w:rPr>
        <w:t>数与实际数不符的应按规定程序处置。</w:t>
      </w:r>
    </w:p>
    <w:p>
      <w:pPr>
        <w:keepNext w:val="0"/>
        <w:keepLines w:val="0"/>
        <w:pageBreakBefore w:val="0"/>
        <w:widowControl w:val="0"/>
        <w:tabs>
          <w:tab w:val="left" w:pos="1800"/>
        </w:tabs>
        <w:kinsoku/>
        <w:wordWrap/>
        <w:overflowPunct/>
        <w:topLinePunct w:val="0"/>
        <w:autoSpaceDE/>
        <w:autoSpaceDN/>
        <w:bidi w:val="0"/>
        <w:adjustRightInd/>
        <w:snapToGrid/>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（二）牲畜（禽）资产清查。清查牲畜（禽）资产账面数与实地核实数是否相符，并将账面数与清查实际数在“牲畜（禽）资产清查登记表”上进行登记。</w:t>
      </w:r>
      <w:r>
        <w:rPr>
          <w:rFonts w:hint="eastAsia" w:ascii="仿宋_GB2312" w:eastAsia="仿宋_GB2312"/>
          <w:sz w:val="32"/>
          <w:szCs w:val="32"/>
        </w:rPr>
        <w:t>清查采取实地盘点方法，饲养员必须在场并参与盘点工作。</w:t>
      </w:r>
      <w:r>
        <w:rPr>
          <w:rFonts w:hint="eastAsia" w:ascii="仿宋_GB2312" w:hAnsi="仿宋_GB2312" w:eastAsia="仿宋_GB2312" w:cs="仿宋_GB2312"/>
          <w:bCs/>
          <w:sz w:val="32"/>
          <w:szCs w:val="32"/>
        </w:rPr>
        <w:t>对死亡、毁损与账面数不符的，查明原因，按规定批准后调整账目。</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第二十七条 </w:t>
      </w:r>
      <w:r>
        <w:rPr>
          <w:rFonts w:hint="eastAsia" w:ascii="仿宋_GB2312" w:hAnsi="仿宋_GB2312" w:eastAsia="仿宋_GB2312" w:cs="仿宋_GB2312"/>
          <w:bCs/>
          <w:sz w:val="32"/>
          <w:szCs w:val="32"/>
        </w:rPr>
        <w:t>长期投资清查。是对集体经济组织不准备在一年以内变现的股票、债券等投资和向外单位及个人的投资的清查。清查核对长期投资账面数与实际数是否相符，采取面询、函证等方式，将长期投资明细账与投资合同或协议、记录凭证、审批文件、投资有关权益证书等与投资对象逐一进行核对，取得书面核对凭证，查清长期投资的对象（项目）、金额、方式、期限、股利（利息）等,将账面数与实际数在“长期投资清查登记表”上进行登记。对账面数与实际数不相符以及投资收益有异议的，应根据投资协议、原始凭证等书据与投资对象达成一致，按照程序批准后进行账务处理。</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第二十八条</w:t>
      </w:r>
      <w:r>
        <w:rPr>
          <w:rFonts w:hint="eastAsia" w:ascii="仿宋_GB2312" w:hAnsi="仿宋_GB2312" w:eastAsia="仿宋_GB2312" w:cs="仿宋_GB2312"/>
          <w:bCs/>
          <w:sz w:val="32"/>
          <w:szCs w:val="32"/>
        </w:rPr>
        <w:t xml:space="preserve">  无形资产清查，包括各项专利权、商标权、非专利技术等纳入账内核算的无形资产。依据无形资产明细账和相关记录，查清各种无形资产名称、取得时间、取得方式、使用年限、使用情况、原始价值、摊余价值等。</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第二十九条</w:t>
      </w:r>
      <w:r>
        <w:rPr>
          <w:rFonts w:hint="eastAsia" w:ascii="仿宋_GB2312" w:hAnsi="仿宋_GB2312" w:eastAsia="仿宋_GB2312" w:cs="仿宋_GB2312"/>
          <w:bCs/>
          <w:sz w:val="32"/>
          <w:szCs w:val="32"/>
        </w:rPr>
        <w:t xml:space="preserve">  资源性资产的清查。资源性资产清查是对农村集体经济组织所有资源性资产的清查，包括农用地、建设用地和未利用地的清查。</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（一）资源性资产的清查只清查核实面积、权属和经营情况，一般不确认价值。</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已经由有关部门确权的，由有关部门提供确权情况，按照确权结果登记，充分利用已有登记成果，减少和避免重复劳动；尚未进行确权或权属存在争议的，集体经济组织在“资源性资产清查登记表</w:t>
      </w:r>
      <w:r>
        <w:rPr>
          <w:rFonts w:ascii="仿宋_GB2312" w:hAnsi="仿宋_GB2312" w:eastAsia="仿宋_GB2312" w:cs="仿宋_GB2312"/>
          <w:bCs/>
          <w:sz w:val="32"/>
          <w:szCs w:val="32"/>
        </w:rPr>
        <w:t>-1</w:t>
      </w:r>
      <w:r>
        <w:rPr>
          <w:rFonts w:hint="eastAsia" w:ascii="仿宋_GB2312" w:hAnsi="仿宋_GB2312" w:eastAsia="仿宋_GB2312" w:cs="仿宋_GB2312"/>
          <w:bCs/>
          <w:sz w:val="32"/>
          <w:szCs w:val="32"/>
        </w:rPr>
        <w:t>”“资源性资产清查登记表</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2”“资源性资产清查登记表</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3”的待界定项目中登记。</w:t>
      </w:r>
    </w:p>
    <w:p>
      <w:pPr>
        <w:keepNext w:val="0"/>
        <w:keepLines w:val="0"/>
        <w:pageBreakBefore w:val="0"/>
        <w:widowControl w:val="0"/>
        <w:tabs>
          <w:tab w:val="left" w:pos="1800"/>
        </w:tabs>
        <w:kinsoku/>
        <w:wordWrap/>
        <w:overflowPunct/>
        <w:topLinePunct w:val="0"/>
        <w:autoSpaceDE/>
        <w:autoSpaceDN/>
        <w:bidi w:val="0"/>
        <w:adjustRightInd/>
        <w:snapToGrid/>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农用地的清查。农用地的清查包括耕地、林地、草地、养殖水面和农田水利用地的清查，已经进行了农村集体土地、集体林权、草原确权登记的，按照确权登记的数据，由集体经济组织在“资源性资产清查登记明细表-1”“资源性资产清查登记总表”上按照承包到户和未承包到户登记所有农用地情况。</w:t>
      </w:r>
    </w:p>
    <w:p>
      <w:pPr>
        <w:keepNext w:val="0"/>
        <w:keepLines w:val="0"/>
        <w:pageBreakBefore w:val="0"/>
        <w:widowControl w:val="0"/>
        <w:tabs>
          <w:tab w:val="left" w:pos="1800"/>
        </w:tabs>
        <w:kinsoku/>
        <w:wordWrap/>
        <w:overflowPunct/>
        <w:topLinePunct w:val="0"/>
        <w:autoSpaceDE/>
        <w:autoSpaceDN/>
        <w:bidi w:val="0"/>
        <w:adjustRightInd/>
        <w:snapToGrid/>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农用地清查应将未承包到户的农用地作为重点，全面清查核实集体统一经营农用地的数量，以及集体经济组织农用地经营形式、使用人、起止年限以及使用费等情况。</w:t>
      </w:r>
    </w:p>
    <w:p>
      <w:pPr>
        <w:keepNext w:val="0"/>
        <w:keepLines w:val="0"/>
        <w:pageBreakBefore w:val="0"/>
        <w:widowControl w:val="0"/>
        <w:tabs>
          <w:tab w:val="left" w:pos="1800"/>
        </w:tabs>
        <w:kinsoku/>
        <w:wordWrap/>
        <w:overflowPunct/>
        <w:topLinePunct w:val="0"/>
        <w:autoSpaceDE/>
        <w:autoSpaceDN/>
        <w:bidi w:val="0"/>
        <w:adjustRightInd/>
        <w:snapToGrid/>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建设用地的清查。建设用地清查主要是对集体所有建设用地进行清查核实，查清核实数量、权属和使用情况。建设用地清查应按照依法确定的建设用地权属、面积进行核实确认。集体经济组织将核实确认的建设用地数在“资源性资产清查登记明细表-2”“资源性资产清查登记总表”上进行登记。</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四）未利用地的清查。未利用地的清查包括对“四荒”（荒山、荒沟、荒丘、荒滩）的清查。未利用地清查应以确权登记情况为依据，对未利用地的权属和面积与实际情况进行核实登记。集体经济组织将确权面积数在“资源性资产清查登记明细表-3”“资源性资产清查登记总表”中登记。</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第三十条</w:t>
      </w:r>
      <w:r>
        <w:rPr>
          <w:rFonts w:hint="eastAsia" w:ascii="仿宋_GB2312" w:hAnsi="仿宋_GB2312" w:eastAsia="仿宋_GB2312" w:cs="仿宋_GB2312"/>
          <w:bCs/>
          <w:sz w:val="32"/>
          <w:szCs w:val="32"/>
        </w:rPr>
        <w:t xml:space="preserve"> 负债的清查。主要包括以集体经济组织本级为会计核算单位管理负债的清查。 </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（一）负债的清查主要包括各项短期负债与长期负债的清查。短期负债清查主要包括短期借款、应付款、应付工资、应付福利费等的清查。</w:t>
      </w:r>
    </w:p>
    <w:p>
      <w:pPr>
        <w:keepNext w:val="0"/>
        <w:keepLines w:val="0"/>
        <w:pageBreakBefore w:val="0"/>
        <w:widowControl w:val="0"/>
        <w:tabs>
          <w:tab w:val="left" w:pos="1800"/>
        </w:tabs>
        <w:kinsoku/>
        <w:wordWrap/>
        <w:overflowPunct/>
        <w:topLinePunct w:val="0"/>
        <w:autoSpaceDE/>
        <w:autoSpaceDN/>
        <w:bidi w:val="0"/>
        <w:adjustRightInd/>
        <w:snapToGrid/>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长期负债清查包括长期借款及应付款、一事一议资金、专项应付款等的清查。其中的</w:t>
      </w:r>
      <w:r>
        <w:rPr>
          <w:rFonts w:hint="eastAsia" w:ascii="仿宋_GB2312" w:eastAsia="仿宋_GB2312"/>
          <w:sz w:val="32"/>
          <w:szCs w:val="32"/>
        </w:rPr>
        <w:t>专项应付款指集体经济组织收到的征地补偿费、国家财政专项补助等资金，</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（二） 负债的清查应以查清核实集体经济组织各项负债账面数与债权方核实清查数为重点，对形成的原因、期限、用途、经办人以及合同等进行核实清查。负债的清查核实主要是通过面询、函证等方式进行。</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（三） 分类处理各项负债。对能够偿还的负债，集体经济组织应及时予以偿还；对于一时不能偿还的债务，特别是历史遗留债务，应作出还款计划。</w:t>
      </w:r>
    </w:p>
    <w:p>
      <w:pPr>
        <w:keepNext w:val="0"/>
        <w:keepLines w:val="0"/>
        <w:pageBreakBefore w:val="0"/>
        <w:widowControl w:val="0"/>
        <w:tabs>
          <w:tab w:val="left" w:pos="1800"/>
        </w:tabs>
        <w:kinsoku/>
        <w:wordWrap/>
        <w:overflowPunct/>
        <w:topLinePunct w:val="0"/>
        <w:autoSpaceDE/>
        <w:autoSpaceDN/>
        <w:bidi w:val="0"/>
        <w:adjustRightInd/>
        <w:snapToGrid/>
        <w:ind w:firstLine="64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 对各项短期负债、长期负债清查核实后，应按照短期借款、应付款、应付工资、应付福利费和长期借款及应付款、一事一议资金、专项应付款项目进行登记，由集体经济组织将上述项目账面数与核实数登记到“短期借款、应付款项和长期借款及应付款等清查登记表”“应付工资清查登记表”“应付福利费清查登记表”“一事一议资金清查登记表”“专项应付款清查登记表”。</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第三十一条 </w:t>
      </w:r>
      <w:r>
        <w:rPr>
          <w:rFonts w:hint="eastAsia" w:ascii="仿宋_GB2312" w:hAnsi="仿宋_GB2312" w:eastAsia="仿宋_GB2312" w:cs="仿宋_GB2312"/>
          <w:bCs/>
          <w:sz w:val="32"/>
          <w:szCs w:val="32"/>
        </w:rPr>
        <w:t xml:space="preserve"> 所有者权益清查。包括资本、公积公益金、未分配收益的清查。</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一）资本的清查。清查核实集体经济组织实际收到投入的资本，由集体经济组织在“所有者权益清查登记表”中的“资本”项目进行登记。按照资本明细账余额向前追溯，对于记载清晰的，通过公示、问询和函证等方式，与投资人进行核对，取得书面核对凭证，查清资本账面余额；对于记载不清的，可暂时将本集体经济组织列为投资人，记入本集体名下。清查出资本明细账记录与实际投资人不符时，要经当事人签字认可，成员（代表）大会表决通过后，据实调整资本明细账。对投资单位撤销的，要将投资单位投入资本转为本集体资本，依据相关证明材料调整资本明细账；对投资人死亡且有继承人的，将其投入资本转给其继承人；对投资人死亡且无继承人的，将其投入资本转为本集体资本，依据相关证明材料调整资本明细账。对农业合作化时期社员入社的股份基金，有条件的可以进行深入清查。</w:t>
      </w:r>
    </w:p>
    <w:p>
      <w:pPr>
        <w:keepNext w:val="0"/>
        <w:keepLines w:val="0"/>
        <w:pageBreakBefore w:val="0"/>
        <w:widowControl w:val="0"/>
        <w:tabs>
          <w:tab w:val="left" w:pos="1800"/>
        </w:tabs>
        <w:kinsoku/>
        <w:wordWrap/>
        <w:overflowPunct/>
        <w:topLinePunct w:val="0"/>
        <w:autoSpaceDE/>
        <w:autoSpaceDN/>
        <w:bidi w:val="0"/>
        <w:adjustRightInd/>
        <w:snapToGrid/>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公积公益金的清查。清查核实集体经济组织从收益中提取和转增等来源取得的公积公益金。分类清查核实从收益中提取、资本溢价、接受捐赠、资产重估增值、征地补偿费、拍卖“四荒”所得等取得的公积公益金。由集体经济组织在“所有者权益清查登记表”“公积公益金”上进行登记。</w:t>
      </w:r>
    </w:p>
    <w:p>
      <w:pPr>
        <w:keepNext w:val="0"/>
        <w:keepLines w:val="0"/>
        <w:pageBreakBefore w:val="0"/>
        <w:widowControl w:val="0"/>
        <w:tabs>
          <w:tab w:val="left" w:pos="1800"/>
        </w:tabs>
        <w:kinsoku/>
        <w:wordWrap/>
        <w:overflowPunct/>
        <w:topLinePunct w:val="0"/>
        <w:autoSpaceDE/>
        <w:autoSpaceDN/>
        <w:bidi w:val="0"/>
        <w:adjustRightInd/>
        <w:snapToGrid/>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（三）未分配收益清查。清查核实集体经济组织分配后结存的未分配收益余额。清查未分配收益账面数后，由集体经济组织在“所有者权益清查登记表”“未分配收益”上进行登记。</w:t>
      </w:r>
    </w:p>
    <w:p>
      <w:pPr>
        <w:keepNext w:val="0"/>
        <w:keepLines w:val="0"/>
        <w:pageBreakBefore w:val="0"/>
        <w:widowControl w:val="0"/>
        <w:tabs>
          <w:tab w:val="left" w:pos="1800"/>
        </w:tabs>
        <w:kinsoku/>
        <w:wordWrap/>
        <w:overflowPunct/>
        <w:topLinePunct w:val="0"/>
        <w:autoSpaceDE/>
        <w:autoSpaceDN/>
        <w:bidi w:val="0"/>
        <w:adjustRightInd/>
        <w:snapToGrid/>
        <w:jc w:val="center"/>
        <w:textAlignment w:val="auto"/>
        <w:rPr>
          <w:rFonts w:hint="eastAsia" w:ascii="黑体" w:hAnsi="黑体" w:eastAsia="黑体" w:cs="仿宋_GB2312"/>
          <w:bCs/>
          <w:sz w:val="32"/>
          <w:szCs w:val="32"/>
        </w:rPr>
      </w:pPr>
      <w:r>
        <w:rPr>
          <w:rFonts w:hint="eastAsia" w:ascii="黑体" w:hAnsi="黑体" w:eastAsia="黑体" w:cs="仿宋_GB2312"/>
          <w:bCs/>
          <w:sz w:val="32"/>
          <w:szCs w:val="32"/>
        </w:rPr>
        <w:t>第六章    集体所属企业的清查</w:t>
      </w:r>
    </w:p>
    <w:p>
      <w:pPr>
        <w:keepNext w:val="0"/>
        <w:keepLines w:val="0"/>
        <w:pageBreakBefore w:val="0"/>
        <w:widowControl w:val="0"/>
        <w:tabs>
          <w:tab w:val="left" w:pos="1800"/>
        </w:tabs>
        <w:kinsoku/>
        <w:wordWrap/>
        <w:overflowPunct/>
        <w:topLinePunct w:val="0"/>
        <w:autoSpaceDE/>
        <w:autoSpaceDN/>
        <w:bidi w:val="0"/>
        <w:adjustRightInd/>
        <w:snapToGrid/>
        <w:ind w:firstLine="643"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第三十二条  </w:t>
      </w:r>
      <w:r>
        <w:rPr>
          <w:rFonts w:hint="eastAsia" w:ascii="仿宋_GB2312" w:hAnsi="仿宋_GB2312" w:eastAsia="仿宋_GB2312" w:cs="仿宋_GB2312"/>
          <w:bCs/>
          <w:sz w:val="32"/>
          <w:szCs w:val="32"/>
        </w:rPr>
        <w:t>集体经济组织所属企业的清查是对全资持有、直接或间接拥有半数以上表决权等能够控制的被投资企业经营性资产的清查。资源性资产和非经营性资产由集体经济组织进行清查。</w:t>
      </w:r>
    </w:p>
    <w:p>
      <w:pPr>
        <w:keepNext w:val="0"/>
        <w:keepLines w:val="0"/>
        <w:pageBreakBefore w:val="0"/>
        <w:widowControl w:val="0"/>
        <w:tabs>
          <w:tab w:val="left" w:pos="1800"/>
        </w:tabs>
        <w:kinsoku/>
        <w:wordWrap/>
        <w:overflowPunct/>
        <w:topLinePunct w:val="0"/>
        <w:autoSpaceDE/>
        <w:autoSpaceDN/>
        <w:bidi w:val="0"/>
        <w:adjustRightInd/>
        <w:snapToGrid/>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集体所属企业资产的清查应与集体经济组织的清查同时进行。</w:t>
      </w:r>
    </w:p>
    <w:p>
      <w:pPr>
        <w:keepNext w:val="0"/>
        <w:keepLines w:val="0"/>
        <w:pageBreakBefore w:val="0"/>
        <w:widowControl w:val="0"/>
        <w:tabs>
          <w:tab w:val="left" w:pos="1800"/>
        </w:tabs>
        <w:kinsoku/>
        <w:wordWrap/>
        <w:overflowPunct/>
        <w:topLinePunct w:val="0"/>
        <w:autoSpaceDE/>
        <w:autoSpaceDN/>
        <w:bidi w:val="0"/>
        <w:adjustRightInd/>
        <w:snapToGrid/>
        <w:ind w:firstLine="643"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第三十三条 </w:t>
      </w:r>
      <w:r>
        <w:rPr>
          <w:rFonts w:hint="eastAsia" w:ascii="仿宋_GB2312" w:hAnsi="仿宋_GB2312" w:eastAsia="仿宋_GB2312" w:cs="仿宋_GB2312"/>
          <w:bCs/>
          <w:sz w:val="32"/>
          <w:szCs w:val="32"/>
        </w:rPr>
        <w:t xml:space="preserve"> 集体所属企业的清查包括对企业所有的资产的全面清查。集体所属企业的资产、负债和所有者权益的清查，按照集体经济组织的清查项目进行，集体所属企业清产核资登记表参照集体经济组织清查登记表执行。</w:t>
      </w:r>
    </w:p>
    <w:p>
      <w:pPr>
        <w:keepNext w:val="0"/>
        <w:keepLines w:val="0"/>
        <w:pageBreakBefore w:val="0"/>
        <w:widowControl w:val="0"/>
        <w:tabs>
          <w:tab w:val="left" w:pos="1800"/>
        </w:tabs>
        <w:kinsoku/>
        <w:wordWrap/>
        <w:overflowPunct/>
        <w:topLinePunct w:val="0"/>
        <w:autoSpaceDE/>
        <w:autoSpaceDN/>
        <w:bidi w:val="0"/>
        <w:adjustRightInd/>
        <w:snapToGrid/>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集体经济组织全资持有、直接或间接拥有半数以上表决权等能够控制的被投资企业，清产核资后应根据清查登记表生成所属企业“资产负债表”。</w:t>
      </w:r>
    </w:p>
    <w:p>
      <w:pPr>
        <w:keepNext w:val="0"/>
        <w:keepLines w:val="0"/>
        <w:pageBreakBefore w:val="0"/>
        <w:widowControl w:val="0"/>
        <w:tabs>
          <w:tab w:val="left" w:pos="1800"/>
        </w:tabs>
        <w:kinsoku/>
        <w:wordWrap/>
        <w:overflowPunct/>
        <w:topLinePunct w:val="0"/>
        <w:autoSpaceDE/>
        <w:autoSpaceDN/>
        <w:bidi w:val="0"/>
        <w:adjustRightInd/>
        <w:snapToGrid/>
        <w:ind w:firstLine="643"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第三十四条 </w:t>
      </w:r>
      <w:r>
        <w:rPr>
          <w:rFonts w:hint="eastAsia" w:ascii="仿宋_GB2312" w:hAnsi="仿宋_GB2312" w:eastAsia="仿宋_GB2312" w:cs="仿宋_GB2312"/>
          <w:bCs/>
          <w:sz w:val="32"/>
          <w:szCs w:val="32"/>
        </w:rPr>
        <w:t>集体经济组织全资持有的所属企业，要将清产核资后生成的资产负债表，与集体经济组织本级的资产负债表进行合并，将双方债权债务相互抵消，调减集体经济组织长期投资和所属企业所有者权益，差额计入公积公益金。</w:t>
      </w:r>
    </w:p>
    <w:p>
      <w:pPr>
        <w:keepNext w:val="0"/>
        <w:keepLines w:val="0"/>
        <w:pageBreakBefore w:val="0"/>
        <w:widowControl w:val="0"/>
        <w:tabs>
          <w:tab w:val="left" w:pos="1800"/>
        </w:tabs>
        <w:kinsoku/>
        <w:wordWrap/>
        <w:overflowPunct/>
        <w:topLinePunct w:val="0"/>
        <w:autoSpaceDE/>
        <w:autoSpaceDN/>
        <w:bidi w:val="0"/>
        <w:adjustRightInd/>
        <w:snapToGrid/>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集体经济组织与所属企业债权债务往来中，集体经济组织内部往来有贷方余额的，集体经济组织应调减相应数额的内部往来，所属企业应调减相应数额的应收款。集体经济组织与所属企业债权债务往来中，集体经济组织内部往来有借方余额的，集体经济组织应调减相应数额的内部往来，所属企业应调减相应数额的应付款（借款）。</w:t>
      </w:r>
    </w:p>
    <w:p>
      <w:pPr>
        <w:keepNext w:val="0"/>
        <w:keepLines w:val="0"/>
        <w:pageBreakBefore w:val="0"/>
        <w:widowControl w:val="0"/>
        <w:tabs>
          <w:tab w:val="left" w:pos="1800"/>
        </w:tabs>
        <w:kinsoku/>
        <w:wordWrap/>
        <w:overflowPunct/>
        <w:topLinePunct w:val="0"/>
        <w:autoSpaceDE/>
        <w:autoSpaceDN/>
        <w:bidi w:val="0"/>
        <w:adjustRightInd/>
        <w:snapToGrid/>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（二）集体经济组织与所属企业之间发生投资的，集体经济组织应调减相同数额的长期投资，所属企业调减相同数额所有者权益（实收资本），差额计入公积公益金。</w:t>
      </w:r>
    </w:p>
    <w:p>
      <w:pPr>
        <w:keepNext w:val="0"/>
        <w:keepLines w:val="0"/>
        <w:pageBreakBefore w:val="0"/>
        <w:widowControl w:val="0"/>
        <w:tabs>
          <w:tab w:val="left" w:pos="1800"/>
        </w:tabs>
        <w:kinsoku/>
        <w:wordWrap/>
        <w:overflowPunct/>
        <w:topLinePunct w:val="0"/>
        <w:autoSpaceDE/>
        <w:autoSpaceDN/>
        <w:bidi w:val="0"/>
        <w:adjustRightInd/>
        <w:snapToGrid/>
        <w:ind w:firstLine="643"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第三十五条</w:t>
      </w:r>
      <w:r>
        <w:rPr>
          <w:rFonts w:hint="eastAsia" w:ascii="仿宋_GB2312" w:hAnsi="仿宋_GB2312" w:eastAsia="仿宋_GB2312" w:cs="仿宋_GB2312"/>
          <w:bCs/>
          <w:sz w:val="32"/>
          <w:szCs w:val="32"/>
        </w:rPr>
        <w:t xml:space="preserve">  集体经济组织直接或间接拥有半数以上表决权等能够控制的被投资企业，在清产核资后，将所有者权益按投资比例对应调整集体经济组织的长期投资，差额计入公积公益金。 </w:t>
      </w:r>
    </w:p>
    <w:p>
      <w:pPr>
        <w:keepNext w:val="0"/>
        <w:keepLines w:val="0"/>
        <w:pageBreakBefore w:val="0"/>
        <w:widowControl w:val="0"/>
        <w:tabs>
          <w:tab w:val="left" w:pos="1800"/>
        </w:tabs>
        <w:kinsoku/>
        <w:wordWrap/>
        <w:overflowPunct/>
        <w:topLinePunct w:val="0"/>
        <w:autoSpaceDE/>
        <w:autoSpaceDN/>
        <w:bidi w:val="0"/>
        <w:adjustRightInd/>
        <w:snapToGrid/>
        <w:jc w:val="center"/>
        <w:textAlignment w:val="auto"/>
        <w:rPr>
          <w:rFonts w:hint="eastAsia" w:ascii="黑体" w:hAnsi="黑体" w:eastAsia="黑体" w:cs="仿宋_GB2312"/>
          <w:bCs/>
          <w:sz w:val="32"/>
          <w:szCs w:val="32"/>
        </w:rPr>
      </w:pPr>
      <w:r>
        <w:rPr>
          <w:rFonts w:hint="eastAsia" w:ascii="黑体" w:hAnsi="黑体" w:eastAsia="黑体" w:cs="仿宋_GB2312"/>
          <w:bCs/>
          <w:sz w:val="32"/>
          <w:szCs w:val="32"/>
        </w:rPr>
        <w:t>第七章   资产估价、价值重估</w:t>
      </w:r>
    </w:p>
    <w:p>
      <w:pPr>
        <w:keepNext w:val="0"/>
        <w:keepLines w:val="0"/>
        <w:pageBreakBefore w:val="0"/>
        <w:widowControl w:val="0"/>
        <w:tabs>
          <w:tab w:val="left" w:pos="1800"/>
        </w:tabs>
        <w:kinsoku/>
        <w:wordWrap/>
        <w:overflowPunct/>
        <w:topLinePunct w:val="0"/>
        <w:autoSpaceDE/>
        <w:autoSpaceDN/>
        <w:bidi w:val="0"/>
        <w:adjustRightInd/>
        <w:snapToGrid/>
        <w:ind w:firstLine="643"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第三十六条  </w:t>
      </w:r>
      <w:r>
        <w:rPr>
          <w:rFonts w:hint="eastAsia" w:ascii="仿宋_GB2312" w:hAnsi="仿宋_GB2312" w:eastAsia="仿宋_GB2312" w:cs="仿宋_GB2312"/>
          <w:bCs/>
          <w:sz w:val="32"/>
          <w:szCs w:val="32"/>
        </w:rPr>
        <w:t xml:space="preserve"> 集体经济组织所有的未纳入会计核算或无原始凭证的资产应进行估价。集体资产账面价值与实际价值背离较大的应进行价值重估。</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（一）农村集体经济组织对应入账而没有入账的资产，有原始凭证能够证明其价值的，按照有关凭证入账，没有原始凭证不能证明其价值的，应进行资产估价。</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（二）农村集体经济组织待处理、待报废的固定资产，租入的固定资产，已提足折旧逾龄的固定资产，在建工程和已完工未交付使用的固定资产、无形资产、流动资产不进行价值重估。</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第三十七条 </w:t>
      </w:r>
      <w:r>
        <w:rPr>
          <w:rFonts w:hint="eastAsia" w:ascii="仿宋_GB2312" w:eastAsia="仿宋_GB2312"/>
          <w:sz w:val="32"/>
          <w:szCs w:val="32"/>
        </w:rPr>
        <w:t>资产估价和价值重估一般由集体经济组织自行开展，民主讨论确定估价方法，作为记账凭证入账，任何组织和个人不得随意估价处置资产。确有需求的，可聘请有资质的专业机构参与，其结果需经成员（代表）大会民主表决通过。</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第三十八条 </w:t>
      </w:r>
      <w:r>
        <w:rPr>
          <w:rFonts w:hint="eastAsia" w:ascii="仿宋_GB2312" w:hAnsi="仿宋_GB2312" w:eastAsia="仿宋_GB2312" w:cs="仿宋_GB2312"/>
          <w:bCs/>
          <w:sz w:val="32"/>
          <w:szCs w:val="32"/>
        </w:rPr>
        <w:t>集体经济组织固定资产，一般按构建或调入时原始价值确定估价（重估）值。对因账外调入或无偿划归等原因查不到原始凭证的固定资产，可比照同类资产现行构建价格确定。</w:t>
      </w:r>
    </w:p>
    <w:p>
      <w:pPr>
        <w:keepNext w:val="0"/>
        <w:keepLines w:val="0"/>
        <w:pageBreakBefore w:val="0"/>
        <w:widowControl w:val="0"/>
        <w:tabs>
          <w:tab w:val="left" w:pos="1800"/>
        </w:tabs>
        <w:kinsoku/>
        <w:wordWrap/>
        <w:overflowPunct/>
        <w:topLinePunct w:val="0"/>
        <w:autoSpaceDE/>
        <w:autoSpaceDN/>
        <w:bidi w:val="0"/>
        <w:adjustRightInd/>
        <w:snapToGrid/>
        <w:ind w:firstLine="640"/>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第三十九条</w:t>
      </w:r>
      <w:r>
        <w:rPr>
          <w:rFonts w:hint="eastAsia" w:ascii="仿宋_GB2312" w:hAnsi="仿宋_GB2312" w:eastAsia="仿宋_GB2312" w:cs="仿宋_GB2312"/>
          <w:bCs/>
          <w:sz w:val="32"/>
          <w:szCs w:val="32"/>
        </w:rPr>
        <w:t xml:space="preserve"> 集体经济组织股权投资，一般按初始投资价值确定估价（重估）值。对确有交易需求且集体经济组织成员会议或代表会议表决通过的，可进行资产价值重估。农村集体经济组织全资持有、直接或间接拥有半数以上表决权等能够控制的被投资企业，可根据实际需要确定是否进行价值重估。进行价值重估的，按现值或公允价值重估入账。</w:t>
      </w:r>
    </w:p>
    <w:p>
      <w:pPr>
        <w:keepNext w:val="0"/>
        <w:keepLines w:val="0"/>
        <w:pageBreakBefore w:val="0"/>
        <w:widowControl w:val="0"/>
        <w:tabs>
          <w:tab w:val="left" w:pos="1800"/>
        </w:tabs>
        <w:kinsoku/>
        <w:wordWrap/>
        <w:overflowPunct/>
        <w:topLinePunct w:val="0"/>
        <w:autoSpaceDE/>
        <w:autoSpaceDN/>
        <w:bidi w:val="0"/>
        <w:adjustRightInd/>
        <w:snapToGrid/>
        <w:ind w:firstLine="640"/>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第四十条 </w:t>
      </w:r>
      <w:r>
        <w:rPr>
          <w:rFonts w:hint="eastAsia" w:ascii="仿宋_GB2312" w:eastAsia="仿宋_GB2312"/>
          <w:sz w:val="32"/>
          <w:szCs w:val="32"/>
        </w:rPr>
        <w:t>集体经济组织资产估价和价值重估，要严格执行国家有关政策和技术标准，不得随意多估或少估，并报乡（镇）农经管理机构备案。</w:t>
      </w:r>
    </w:p>
    <w:p>
      <w:pPr>
        <w:keepNext w:val="0"/>
        <w:keepLines w:val="0"/>
        <w:pageBreakBefore w:val="0"/>
        <w:widowControl w:val="0"/>
        <w:tabs>
          <w:tab w:val="left" w:pos="1800"/>
        </w:tabs>
        <w:kinsoku/>
        <w:wordWrap/>
        <w:overflowPunct/>
        <w:topLinePunct w:val="0"/>
        <w:autoSpaceDE/>
        <w:autoSpaceDN/>
        <w:bidi w:val="0"/>
        <w:adjustRightInd/>
        <w:snapToGrid/>
        <w:jc w:val="center"/>
        <w:textAlignment w:val="auto"/>
        <w:rPr>
          <w:rFonts w:hint="eastAsia" w:ascii="黑体" w:hAnsi="黑体" w:eastAsia="黑体" w:cs="仿宋_GB2312"/>
          <w:bCs/>
          <w:sz w:val="32"/>
          <w:szCs w:val="32"/>
        </w:rPr>
      </w:pPr>
      <w:r>
        <w:rPr>
          <w:rFonts w:hint="eastAsia" w:ascii="黑体" w:hAnsi="黑体" w:eastAsia="黑体" w:cs="仿宋_GB2312"/>
          <w:bCs/>
          <w:sz w:val="32"/>
          <w:szCs w:val="32"/>
        </w:rPr>
        <w:t>第八章    账务调整和资产监管</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第四十一条</w:t>
      </w:r>
      <w:r>
        <w:rPr>
          <w:rFonts w:hint="eastAsia" w:ascii="仿宋_GB2312" w:hAnsi="仿宋_GB2312" w:eastAsia="仿宋_GB2312" w:cs="仿宋_GB2312"/>
          <w:bCs/>
          <w:sz w:val="32"/>
          <w:szCs w:val="32"/>
        </w:rPr>
        <w:t xml:space="preserve"> 对于经清产核资后发现集体经济组织账款不符、账实不符、账证不符，以及对确实无法收回的债权、对外投资、无法支付的债务等进行核销，必须查明情况，严格审核，分清责任，经集体经济组织成员会议（或其代表会议）讨论通过，报乡（镇）农经管理机构审核批准，根据清产核资政策和“村集体经济组织财务会计制度”规定进行账务调整。   </w:t>
      </w:r>
    </w:p>
    <w:p>
      <w:pPr>
        <w:keepNext w:val="0"/>
        <w:keepLines w:val="0"/>
        <w:pageBreakBefore w:val="0"/>
        <w:widowControl w:val="0"/>
        <w:tabs>
          <w:tab w:val="left" w:pos="1800"/>
        </w:tabs>
        <w:kinsoku/>
        <w:wordWrap/>
        <w:overflowPunct/>
        <w:topLinePunct w:val="0"/>
        <w:autoSpaceDE/>
        <w:autoSpaceDN/>
        <w:bidi w:val="0"/>
        <w:adjustRightInd/>
        <w:snapToGrid/>
        <w:ind w:firstLine="640"/>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第四十二条 </w:t>
      </w:r>
      <w:r>
        <w:rPr>
          <w:rFonts w:hint="eastAsia" w:ascii="仿宋_GB2312" w:hAnsi="仿宋_GB2312" w:eastAsia="仿宋_GB2312" w:cs="仿宋_GB2312"/>
          <w:bCs/>
          <w:sz w:val="32"/>
          <w:szCs w:val="32"/>
        </w:rPr>
        <w:t xml:space="preserve"> 盘盈、盘亏固定资产、库存物资和农业资产时，分别进行账务处理和登记。</w:t>
      </w:r>
    </w:p>
    <w:p>
      <w:pPr>
        <w:keepNext w:val="0"/>
        <w:keepLines w:val="0"/>
        <w:pageBreakBefore w:val="0"/>
        <w:widowControl w:val="0"/>
        <w:tabs>
          <w:tab w:val="left" w:pos="1800"/>
        </w:tabs>
        <w:kinsoku/>
        <w:wordWrap/>
        <w:overflowPunct/>
        <w:topLinePunct w:val="0"/>
        <w:autoSpaceDE/>
        <w:autoSpaceDN/>
        <w:bidi w:val="0"/>
        <w:adjustRightInd/>
        <w:snapToGrid/>
        <w:ind w:firstLine="64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盘盈时计入公积公益金。集体经济组织在进行账目调整的同时，应将盘盈的固定资产、库存物资、农业资产等实物资产，以及公积公益金在“固定资产清查登记表”“库存物资清查登记表”“牲畜（禽）资产清查登记表”“林木资产清查登记表”等以及“所有者权益清查登记表”增加项中进行登记。</w:t>
      </w:r>
    </w:p>
    <w:p>
      <w:pPr>
        <w:keepNext w:val="0"/>
        <w:keepLines w:val="0"/>
        <w:pageBreakBefore w:val="0"/>
        <w:widowControl w:val="0"/>
        <w:tabs>
          <w:tab w:val="left" w:pos="1800"/>
        </w:tabs>
        <w:kinsoku/>
        <w:wordWrap/>
        <w:overflowPunct/>
        <w:topLinePunct w:val="0"/>
        <w:autoSpaceDE/>
        <w:autoSpaceDN/>
        <w:bidi w:val="0"/>
        <w:adjustRightInd/>
        <w:snapToGrid/>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清产核资前没有纳入账内核算的固定资产、无形资产、农业资产等，包括政府拨款、税费减免等形成的资产，社会团体、个人捐赠的资产等，有原始凭证的，按记载价值入账；无法取得原始凭证的，通过资产估价确认价值入账，作为增加公积公益金处理。经民主程序讨论通过，也可转增资本（并按股权比例量化给成员或集体），同时调整账簿记录</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在相应清查登记表中进行登记。</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盘亏时也计入公积公益金 ，集体经济组织在进行账目调整的同时，应将盘亏的固定资产、库存物资、林木资产等实物资产以及公积公益金、累计折旧在“固定资产清查登记表”“库存物资清查登记表”“林木资产清查登记表”“所有者权益清查登记表”“固定资产清查登记表”减少项中进行登记。</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第四十三条</w:t>
      </w:r>
      <w:r>
        <w:rPr>
          <w:rFonts w:hint="eastAsia" w:ascii="仿宋_GB2312" w:hAnsi="仿宋_GB2312" w:eastAsia="仿宋_GB2312" w:cs="仿宋_GB2312"/>
          <w:bCs/>
          <w:sz w:val="32"/>
          <w:szCs w:val="32"/>
        </w:rPr>
        <w:t xml:space="preserve"> 核销无法收回的债权计入其他支出。集体经济组织在进行账目调整的同时，应将核销的应收款，在“应收款项清查登记表”中进行登记，根据其他支出金额调减“所有者权益清查登记表”中未分配收益（未分配利润）项目。 </w:t>
      </w:r>
    </w:p>
    <w:p>
      <w:pPr>
        <w:keepNext w:val="0"/>
        <w:keepLines w:val="0"/>
        <w:pageBreakBefore w:val="0"/>
        <w:widowControl w:val="0"/>
        <w:tabs>
          <w:tab w:val="left" w:pos="1800"/>
        </w:tabs>
        <w:kinsoku/>
        <w:wordWrap/>
        <w:overflowPunct/>
        <w:topLinePunct w:val="0"/>
        <w:autoSpaceDE/>
        <w:autoSpaceDN/>
        <w:bidi w:val="0"/>
        <w:adjustRightInd/>
        <w:snapToGrid/>
        <w:ind w:firstLine="643"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第四十四条</w:t>
      </w:r>
      <w:r>
        <w:rPr>
          <w:rFonts w:hint="eastAsia" w:ascii="仿宋_GB2312" w:hAnsi="仿宋_GB2312" w:eastAsia="仿宋_GB2312" w:cs="仿宋_GB2312"/>
          <w:bCs/>
          <w:sz w:val="32"/>
          <w:szCs w:val="32"/>
        </w:rPr>
        <w:t xml:space="preserve">  核销可不予归还的债务，计入其他收入，集体经济组织在调整账目的同时，应将短期借款、应付款、长期借款及应付款在“短期借款、应付款项和长期借款及应付款等清查登记表”中进行登记。根据其他收入金额调增“所有者权益清查登记表”中未分配收益（未分配利润）项目。   </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第四十五条</w:t>
      </w:r>
      <w:r>
        <w:rPr>
          <w:rFonts w:hint="eastAsia" w:ascii="仿宋_GB2312" w:hAnsi="仿宋_GB2312" w:eastAsia="仿宋_GB2312" w:cs="仿宋_GB2312"/>
          <w:bCs/>
          <w:sz w:val="32"/>
          <w:szCs w:val="32"/>
        </w:rPr>
        <w:t xml:space="preserve">  对实物资产进行价值重估，重估价与账面价存在差异需进行账务调整。重估价值高于账面价值时计入           公积公益金，集体经济组织在调整账目的同时，应将溢价的固定资产、库存物资等资产以及公积公益金，在“固定资产清查登记表”“库存物资清查登记表”“所有者权益清查登记表”中增项进行登记。 </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重估价值低于账面价值时计入公积公益金，集体经济组织在调整账目的同时，应将折价的固定资产、库存物资等资产以及公积公益金，在“公积公益金清查登记表”“固定资产清查登记表”、“库存物资清查登记表”中减少项进行登记。</w:t>
      </w:r>
    </w:p>
    <w:p>
      <w:pPr>
        <w:keepNext w:val="0"/>
        <w:keepLines w:val="0"/>
        <w:pageBreakBefore w:val="0"/>
        <w:widowControl w:val="0"/>
        <w:tabs>
          <w:tab w:val="left" w:pos="1800"/>
        </w:tabs>
        <w:kinsoku/>
        <w:wordWrap/>
        <w:overflowPunct/>
        <w:topLinePunct w:val="0"/>
        <w:autoSpaceDE/>
        <w:autoSpaceDN/>
        <w:bidi w:val="0"/>
        <w:adjustRightInd/>
        <w:snapToGrid/>
        <w:ind w:firstLine="640"/>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第四十六条</w:t>
      </w:r>
      <w:r>
        <w:rPr>
          <w:rFonts w:hint="eastAsia" w:ascii="仿宋_GB2312" w:hAnsi="仿宋_GB2312" w:eastAsia="仿宋_GB2312" w:cs="仿宋_GB2312"/>
          <w:bCs/>
          <w:sz w:val="32"/>
          <w:szCs w:val="32"/>
        </w:rPr>
        <w:t xml:space="preserve">  积极开展集体资产监督管理平台建设，将全省清产核资数据统一纳入平台管理，推动农村集体资产财务管理制度化、规范化、信息化。</w:t>
      </w:r>
    </w:p>
    <w:p>
      <w:pPr>
        <w:keepNext w:val="0"/>
        <w:keepLines w:val="0"/>
        <w:pageBreakBefore w:val="0"/>
        <w:widowControl w:val="0"/>
        <w:tabs>
          <w:tab w:val="left" w:pos="1800"/>
        </w:tabs>
        <w:kinsoku/>
        <w:wordWrap/>
        <w:overflowPunct/>
        <w:topLinePunct w:val="0"/>
        <w:autoSpaceDE/>
        <w:autoSpaceDN/>
        <w:bidi w:val="0"/>
        <w:adjustRightInd/>
        <w:snapToGrid/>
        <w:jc w:val="center"/>
        <w:textAlignment w:val="auto"/>
        <w:rPr>
          <w:rFonts w:hint="eastAsia" w:ascii="黑体" w:hAnsi="黑体" w:eastAsia="黑体" w:cs="仿宋_GB2312"/>
          <w:bCs/>
          <w:sz w:val="32"/>
          <w:szCs w:val="32"/>
        </w:rPr>
      </w:pPr>
      <w:r>
        <w:rPr>
          <w:rFonts w:hint="eastAsia" w:ascii="黑体" w:hAnsi="黑体" w:eastAsia="黑体" w:cs="仿宋_GB2312"/>
          <w:bCs/>
          <w:sz w:val="32"/>
          <w:szCs w:val="32"/>
        </w:rPr>
        <w:t>第九章    报表编制及汇总</w:t>
      </w:r>
    </w:p>
    <w:p>
      <w:pPr>
        <w:keepNext w:val="0"/>
        <w:keepLines w:val="0"/>
        <w:pageBreakBefore w:val="0"/>
        <w:widowControl w:val="0"/>
        <w:tabs>
          <w:tab w:val="left" w:pos="1800"/>
        </w:tabs>
        <w:kinsoku/>
        <w:wordWrap/>
        <w:overflowPunct/>
        <w:topLinePunct w:val="0"/>
        <w:autoSpaceDE/>
        <w:autoSpaceDN/>
        <w:bidi w:val="0"/>
        <w:adjustRightInd/>
        <w:snapToGrid/>
        <w:ind w:firstLine="643"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第四十七条 </w:t>
      </w:r>
      <w:r>
        <w:rPr>
          <w:rFonts w:hint="eastAsia" w:ascii="仿宋_GB2312" w:hAnsi="仿宋_GB2312" w:eastAsia="仿宋_GB2312" w:cs="仿宋_GB2312"/>
          <w:bCs/>
          <w:sz w:val="32"/>
          <w:szCs w:val="32"/>
        </w:rPr>
        <w:t xml:space="preserve"> 清产核资报表编制及汇总按照“农村集体资产清产核资报表”及“农村集体资产清产核资报表说明”执行，统一使用农业部清产核资软件。</w:t>
      </w:r>
    </w:p>
    <w:p>
      <w:pPr>
        <w:keepNext w:val="0"/>
        <w:keepLines w:val="0"/>
        <w:pageBreakBefore w:val="0"/>
        <w:widowControl w:val="0"/>
        <w:tabs>
          <w:tab w:val="left" w:pos="1800"/>
        </w:tabs>
        <w:kinsoku/>
        <w:wordWrap/>
        <w:overflowPunct/>
        <w:topLinePunct w:val="0"/>
        <w:autoSpaceDE/>
        <w:autoSpaceDN/>
        <w:bidi w:val="0"/>
        <w:adjustRightInd/>
        <w:snapToGrid/>
        <w:ind w:firstLine="643"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第四十八条 </w:t>
      </w:r>
      <w:r>
        <w:rPr>
          <w:rFonts w:hint="eastAsia" w:ascii="仿宋_GB2312" w:hAnsi="仿宋_GB2312" w:eastAsia="仿宋_GB2312" w:cs="仿宋_GB2312"/>
          <w:bCs/>
          <w:sz w:val="32"/>
          <w:szCs w:val="32"/>
        </w:rPr>
        <w:t xml:space="preserve"> 乡（镇）、村、组集体经济组织在清产核资的基础上，根据“XXX清查登记表”</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含集体所属企业清查数</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分别编制集体经济组织本级“资产负债表”、集体所属企业“资产负债表”，并合并两报表形成乡（镇）、村、组集体经济组织“资产负债表”以及乡（镇）、村、组集体经济组织“资源性资产清查登记总表”。</w:t>
      </w:r>
    </w:p>
    <w:p>
      <w:pPr>
        <w:keepNext w:val="0"/>
        <w:keepLines w:val="0"/>
        <w:pageBreakBefore w:val="0"/>
        <w:widowControl w:val="0"/>
        <w:tabs>
          <w:tab w:val="left" w:pos="1800"/>
        </w:tabs>
        <w:kinsoku/>
        <w:wordWrap/>
        <w:overflowPunct/>
        <w:topLinePunct w:val="0"/>
        <w:autoSpaceDE/>
        <w:autoSpaceDN/>
        <w:bidi w:val="0"/>
        <w:adjustRightInd/>
        <w:snapToGrid/>
        <w:ind w:firstLine="643"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第四十九条</w:t>
      </w:r>
      <w:r>
        <w:rPr>
          <w:rFonts w:hint="eastAsia" w:ascii="仿宋_GB2312" w:hAnsi="仿宋_GB2312" w:eastAsia="仿宋_GB2312" w:cs="仿宋_GB2312"/>
          <w:bCs/>
          <w:sz w:val="32"/>
          <w:szCs w:val="32"/>
        </w:rPr>
        <w:t xml:space="preserve">  乡（镇）、村、组集体经济组织清产核资小组分别对集体经济组织“资产负债表”和“资源性资产清查登记总表”审核，经本级主要负责人签字并加盖公章，上报乡（镇）政府。</w:t>
      </w:r>
    </w:p>
    <w:p>
      <w:pPr>
        <w:keepNext w:val="0"/>
        <w:keepLines w:val="0"/>
        <w:pageBreakBefore w:val="0"/>
        <w:widowControl w:val="0"/>
        <w:tabs>
          <w:tab w:val="left" w:pos="1800"/>
        </w:tabs>
        <w:kinsoku/>
        <w:wordWrap/>
        <w:overflowPunct/>
        <w:topLinePunct w:val="0"/>
        <w:autoSpaceDE/>
        <w:autoSpaceDN/>
        <w:bidi w:val="0"/>
        <w:adjustRightInd/>
        <w:snapToGrid/>
        <w:ind w:firstLine="643"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第五十条 </w:t>
      </w:r>
      <w:r>
        <w:rPr>
          <w:rFonts w:hint="eastAsia" w:ascii="仿宋_GB2312" w:hAnsi="仿宋_GB2312" w:eastAsia="仿宋_GB2312" w:cs="仿宋_GB2312"/>
          <w:bCs/>
          <w:sz w:val="32"/>
          <w:szCs w:val="32"/>
        </w:rPr>
        <w:t>乡（镇）政府将所属乡（镇）、村、组集体经济组织的“资产负债表”、“资源性资产清查登记总表”分别进行汇总后，形成“资产负债汇总表（乡级）”“资源性资产清查登记汇总表（乡级）”“资产负债汇总表（村级）”“资源性资产清查登记汇总表（村级）”“资产负债汇总表（组级）”“资源性资产清查登记汇总表（组级）”六张报表，经乡（镇）农经等相关部门校验核对无误后，以乡（镇）政府名义上报县（市、区）党委、政府。</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第五十一条</w:t>
      </w:r>
      <w:r>
        <w:rPr>
          <w:rFonts w:hint="eastAsia" w:ascii="仿宋_GB2312" w:hAnsi="仿宋_GB2312" w:eastAsia="仿宋_GB2312" w:cs="仿宋_GB2312"/>
          <w:bCs/>
          <w:sz w:val="32"/>
          <w:szCs w:val="32"/>
        </w:rPr>
        <w:t xml:space="preserve"> 县（市、区）将所属各乡（镇）的“资产负债汇总表（乡级）”“资源性资产清查登记汇总表（乡级）”“资产负债汇总表（村级）”“资源性资产清查登记汇总表（村级）”“资产负债汇总表（组级）”“资源性资产清查登记汇总表（组级）”进行汇总，经农经主管部门会同国土资源等部门对数据进行审核，确认无误后以县（市、区）党委、政府名义上报设区市党委、政府。</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第五十二条</w:t>
      </w:r>
      <w:r>
        <w:rPr>
          <w:rFonts w:hint="eastAsia" w:ascii="仿宋_GB2312" w:hAnsi="仿宋_GB2312" w:eastAsia="仿宋_GB2312" w:cs="仿宋_GB2312"/>
          <w:bCs/>
          <w:sz w:val="32"/>
          <w:szCs w:val="32"/>
        </w:rPr>
        <w:t xml:space="preserve"> 设区市将所属县（市、区）“资产负债汇总表（乡级）”“资源性资产清查登记汇总表（乡级）”“资产负债汇总表（村级）”“资源性资产清查登记汇总表（村级）”“资产负债汇总表（组级）”“资源性资产清查登记汇总表（组级）”进行汇总，经农经主管部门会同相关部门对数据进行审核，确认无误后于2019年4月底前以市委、市政府名义上报省委省政府农村工作领导小组办公室。</w:t>
      </w:r>
    </w:p>
    <w:p>
      <w:pPr>
        <w:keepNext w:val="0"/>
        <w:keepLines w:val="0"/>
        <w:pageBreakBefore w:val="0"/>
        <w:widowControl w:val="0"/>
        <w:tabs>
          <w:tab w:val="left" w:pos="1800"/>
        </w:tabs>
        <w:kinsoku/>
        <w:wordWrap/>
        <w:overflowPunct/>
        <w:topLinePunct w:val="0"/>
        <w:autoSpaceDE/>
        <w:autoSpaceDN/>
        <w:bidi w:val="0"/>
        <w:adjustRightInd/>
        <w:snapToGrid/>
        <w:ind w:firstLine="640"/>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第五十三条</w:t>
      </w:r>
      <w:r>
        <w:rPr>
          <w:rFonts w:hint="eastAsia" w:ascii="仿宋_GB2312" w:hAnsi="仿宋_GB2312" w:eastAsia="仿宋_GB2312" w:cs="仿宋_GB2312"/>
          <w:bCs/>
          <w:sz w:val="32"/>
          <w:szCs w:val="32"/>
        </w:rPr>
        <w:t xml:space="preserve">  农村集体资产清产核资统一使用农业部专用平台进行数据录入、审核、汇总、打印等处理。乡村组集体经济组织数据录入点，可以是乡、村集体经济组织，也可以是乡（镇）农经管理机构。</w:t>
      </w:r>
    </w:p>
    <w:p>
      <w:pPr>
        <w:keepNext w:val="0"/>
        <w:keepLines w:val="0"/>
        <w:pageBreakBefore w:val="0"/>
        <w:widowControl w:val="0"/>
        <w:tabs>
          <w:tab w:val="left" w:pos="1800"/>
        </w:tabs>
        <w:kinsoku/>
        <w:wordWrap/>
        <w:overflowPunct/>
        <w:topLinePunct w:val="0"/>
        <w:autoSpaceDE/>
        <w:autoSpaceDN/>
        <w:bidi w:val="0"/>
        <w:adjustRightInd/>
        <w:snapToGrid/>
        <w:textAlignment w:val="auto"/>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第五十四条</w:t>
      </w:r>
      <w:r>
        <w:rPr>
          <w:rFonts w:hint="eastAsia" w:ascii="仿宋_GB2312" w:hAnsi="仿宋_GB2312" w:eastAsia="仿宋_GB2312" w:cs="仿宋_GB2312"/>
          <w:bCs/>
          <w:sz w:val="32"/>
          <w:szCs w:val="32"/>
        </w:rPr>
        <w:t xml:space="preserve">  农村集体经济组织应将各类清查登记表、资产负债表汇总表、资源性资产清查登记汇总表以及清产核资相关文件资料整理归档，建立健全档案管理制度。</w:t>
      </w:r>
    </w:p>
    <w:p>
      <w:pPr>
        <w:keepNext w:val="0"/>
        <w:keepLines w:val="0"/>
        <w:pageBreakBefore w:val="0"/>
        <w:widowControl w:val="0"/>
        <w:tabs>
          <w:tab w:val="left" w:pos="1800"/>
        </w:tabs>
        <w:kinsoku/>
        <w:wordWrap/>
        <w:overflowPunct/>
        <w:topLinePunct w:val="0"/>
        <w:autoSpaceDE/>
        <w:autoSpaceDN/>
        <w:bidi w:val="0"/>
        <w:adjustRightInd/>
        <w:snapToGrid/>
        <w:jc w:val="center"/>
        <w:textAlignment w:val="auto"/>
        <w:rPr>
          <w:rFonts w:hint="eastAsia" w:ascii="黑体" w:hAnsi="黑体" w:eastAsia="黑体" w:cs="仿宋_GB2312"/>
          <w:bCs/>
          <w:sz w:val="32"/>
          <w:szCs w:val="32"/>
        </w:rPr>
      </w:pPr>
      <w:r>
        <w:rPr>
          <w:rFonts w:hint="eastAsia" w:ascii="黑体" w:hAnsi="黑体" w:eastAsia="黑体" w:cs="仿宋_GB2312"/>
          <w:bCs/>
          <w:sz w:val="32"/>
          <w:szCs w:val="32"/>
        </w:rPr>
        <w:t>第十章   附则</w:t>
      </w:r>
    </w:p>
    <w:p>
      <w:pPr>
        <w:keepNext w:val="0"/>
        <w:keepLines w:val="0"/>
        <w:pageBreakBefore w:val="0"/>
        <w:widowControl w:val="0"/>
        <w:tabs>
          <w:tab w:val="left" w:pos="1800"/>
        </w:tabs>
        <w:kinsoku/>
        <w:wordWrap/>
        <w:overflowPunct/>
        <w:topLinePunct w:val="0"/>
        <w:autoSpaceDE/>
        <w:autoSpaceDN/>
        <w:bidi w:val="0"/>
        <w:adjustRightInd/>
        <w:snapToGrid/>
        <w:ind w:left="0" w:leftChars="0" w:right="0" w:rightChars="0" w:firstLine="643" w:firstLineChars="200"/>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第五十五条</w:t>
      </w:r>
      <w:r>
        <w:rPr>
          <w:rFonts w:hint="eastAsia" w:ascii="仿宋_GB2312" w:hAnsi="仿宋_GB2312" w:eastAsia="仿宋_GB2312" w:cs="仿宋_GB2312"/>
          <w:bCs/>
          <w:sz w:val="32"/>
          <w:szCs w:val="32"/>
        </w:rPr>
        <w:t xml:space="preserve">  本实施办法根据农业部《农村集体资产清产核资办法》结合我省实际制定，各地可依据本实施办法制定实施细则。</w:t>
      </w:r>
    </w:p>
    <w:p>
      <w:pPr>
        <w:keepNext w:val="0"/>
        <w:keepLines w:val="0"/>
        <w:pageBreakBefore w:val="0"/>
        <w:widowControl w:val="0"/>
        <w:tabs>
          <w:tab w:val="left" w:pos="1800"/>
        </w:tabs>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第五十六条</w:t>
      </w:r>
      <w:r>
        <w:rPr>
          <w:rFonts w:hint="eastAsia" w:ascii="仿宋_GB2312" w:hAnsi="仿宋_GB2312" w:eastAsia="仿宋_GB2312" w:cs="仿宋_GB2312"/>
          <w:bCs/>
          <w:sz w:val="32"/>
          <w:szCs w:val="32"/>
        </w:rPr>
        <w:t xml:space="preserve">  本实施办法实施中的问题由省农工办、省农业厅负责解释。</w:t>
      </w:r>
    </w:p>
    <w:p>
      <w:pPr>
        <w:keepNext w:val="0"/>
        <w:keepLines w:val="0"/>
        <w:pageBreakBefore w:val="0"/>
        <w:widowControl w:val="0"/>
        <w:tabs>
          <w:tab w:val="left" w:pos="1800"/>
        </w:tabs>
        <w:kinsoku/>
        <w:wordWrap/>
        <w:overflowPunct/>
        <w:topLinePunct w:val="0"/>
        <w:autoSpaceDE/>
        <w:autoSpaceDN/>
        <w:bidi w:val="0"/>
        <w:adjustRightInd/>
        <w:snapToGrid/>
        <w:ind w:left="0" w:leftChars="0" w:right="0" w:rightChars="0" w:firstLine="643"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第五十七条</w:t>
      </w:r>
      <w:r>
        <w:rPr>
          <w:rFonts w:hint="eastAsia" w:ascii="仿宋_GB2312" w:hAnsi="仿宋_GB2312" w:eastAsia="仿宋_GB2312" w:cs="仿宋_GB2312"/>
          <w:bCs/>
          <w:sz w:val="32"/>
          <w:szCs w:val="32"/>
        </w:rPr>
        <w:t xml:space="preserve">  本实施办法自发布之日起施行。</w:t>
      </w:r>
    </w:p>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仿宋_GB2312" w:hAnsi="仿宋_GB2312" w:eastAsia="仿宋_GB2312" w:cs="仿宋_GB2312"/>
          <w:sz w:val="32"/>
          <w:szCs w:val="32"/>
        </w:rPr>
      </w:pPr>
    </w:p>
    <w:p>
      <w:pPr>
        <w:spacing w:line="590" w:lineRule="exact"/>
        <w:jc w:val="center"/>
        <w:rPr>
          <w:rFonts w:hint="eastAsia" w:ascii="方正小标宋简体" w:hAnsi="方正小标宋简体" w:eastAsia="方正小标宋简体" w:cs="方正小标宋简体"/>
          <w:color w:val="000000"/>
          <w:spacing w:val="6"/>
          <w:kern w:val="0"/>
          <w:sz w:val="40"/>
          <w:szCs w:val="40"/>
        </w:rPr>
      </w:pPr>
      <w:r>
        <w:rPr>
          <w:rFonts w:hint="eastAsia" w:ascii="方正小标宋简体" w:hAnsi="方正小标宋简体" w:eastAsia="方正小标宋简体" w:cs="方正小标宋简体"/>
          <w:color w:val="000000"/>
          <w:spacing w:val="6"/>
          <w:kern w:val="0"/>
          <w:sz w:val="40"/>
          <w:szCs w:val="40"/>
        </w:rPr>
        <w:t>中共邯郸市委农工委（农办）</w:t>
      </w:r>
    </w:p>
    <w:p>
      <w:pPr>
        <w:pStyle w:val="6"/>
        <w:spacing w:before="0" w:beforeAutospacing="0" w:after="0" w:afterAutospacing="0" w:line="590" w:lineRule="exact"/>
        <w:jc w:val="center"/>
        <w:rPr>
          <w:rFonts w:hint="eastAsia" w:ascii="方正小标宋简体" w:hAnsi="方正小标宋简体" w:eastAsia="方正小标宋简体" w:cs="方正小标宋简体"/>
          <w:color w:val="000000"/>
          <w:spacing w:val="6"/>
          <w:sz w:val="40"/>
          <w:szCs w:val="40"/>
        </w:rPr>
      </w:pPr>
      <w:r>
        <w:rPr>
          <w:rFonts w:hint="eastAsia" w:ascii="方正小标宋简体" w:hAnsi="方正小标宋简体" w:eastAsia="方正小标宋简体" w:cs="方正小标宋简体"/>
          <w:color w:val="000000"/>
          <w:spacing w:val="6"/>
          <w:sz w:val="40"/>
          <w:szCs w:val="40"/>
        </w:rPr>
        <w:t>关于印发《邯郸市农村集体资产清产核资</w:t>
      </w:r>
    </w:p>
    <w:p>
      <w:pPr>
        <w:pStyle w:val="6"/>
        <w:spacing w:before="0" w:beforeAutospacing="0" w:after="0" w:afterAutospacing="0" w:line="590" w:lineRule="exact"/>
        <w:jc w:val="center"/>
        <w:rPr>
          <w:rFonts w:hint="eastAsia" w:ascii="方正小标宋简体" w:hAnsi="方正小标宋简体" w:eastAsia="方正小标宋简体" w:cs="方正小标宋简体"/>
          <w:color w:val="000000"/>
          <w:spacing w:val="6"/>
          <w:sz w:val="40"/>
          <w:szCs w:val="40"/>
        </w:rPr>
      </w:pPr>
      <w:r>
        <w:rPr>
          <w:rFonts w:hint="eastAsia" w:ascii="方正小标宋简体" w:hAnsi="方正小标宋简体" w:eastAsia="方正小标宋简体" w:cs="方正小标宋简体"/>
          <w:color w:val="000000"/>
          <w:spacing w:val="6"/>
          <w:sz w:val="40"/>
          <w:szCs w:val="40"/>
        </w:rPr>
        <w:t>工作实施方案》的通知</w:t>
      </w:r>
    </w:p>
    <w:p>
      <w:pPr>
        <w:spacing w:line="590" w:lineRule="exact"/>
        <w:jc w:val="center"/>
        <w:rPr>
          <w:rFonts w:hint="eastAsia" w:ascii="仿宋_GB2312" w:hAnsi="仿宋_GB2312" w:eastAsia="仿宋_GB2312" w:cs="仿宋_GB2312"/>
          <w:snapToGrid w:val="0"/>
          <w:color w:val="000000"/>
          <w:spacing w:val="6"/>
          <w:kern w:val="0"/>
          <w:sz w:val="30"/>
          <w:szCs w:val="30"/>
        </w:rPr>
      </w:pPr>
      <w:r>
        <w:rPr>
          <w:rFonts w:hint="eastAsia" w:ascii="仿宋_GB2312" w:hAnsi="仿宋_GB2312" w:eastAsia="仿宋_GB2312" w:cs="仿宋_GB2312"/>
          <w:snapToGrid w:val="0"/>
          <w:color w:val="000000"/>
          <w:spacing w:val="6"/>
          <w:kern w:val="0"/>
          <w:sz w:val="30"/>
          <w:szCs w:val="30"/>
          <w:lang w:eastAsia="zh-CN"/>
        </w:rPr>
        <w:t>（</w:t>
      </w:r>
      <w:r>
        <w:rPr>
          <w:rFonts w:hint="eastAsia" w:ascii="仿宋_GB2312" w:hAnsi="仿宋_GB2312" w:eastAsia="仿宋_GB2312" w:cs="仿宋_GB2312"/>
          <w:snapToGrid w:val="0"/>
          <w:color w:val="000000"/>
          <w:spacing w:val="6"/>
          <w:kern w:val="0"/>
          <w:sz w:val="30"/>
          <w:szCs w:val="30"/>
        </w:rPr>
        <w:t>邯农工字〔2018〕3号</w:t>
      </w:r>
      <w:r>
        <w:rPr>
          <w:rFonts w:hint="eastAsia" w:ascii="仿宋_GB2312" w:hAnsi="仿宋_GB2312" w:eastAsia="仿宋_GB2312" w:cs="仿宋_GB2312"/>
          <w:snapToGrid w:val="0"/>
          <w:color w:val="000000"/>
          <w:spacing w:val="6"/>
          <w:kern w:val="0"/>
          <w:sz w:val="30"/>
          <w:szCs w:val="30"/>
          <w:lang w:eastAsia="zh-CN"/>
        </w:rPr>
        <w:t>）</w:t>
      </w:r>
    </w:p>
    <w:p>
      <w:pPr>
        <w:pStyle w:val="6"/>
        <w:spacing w:before="0" w:beforeAutospacing="0" w:after="0" w:afterAutospacing="0" w:line="590" w:lineRule="exact"/>
        <w:rPr>
          <w:rFonts w:ascii="仿宋" w:hAnsi="仿宋" w:eastAsia="仿宋" w:cs="仿宋"/>
          <w:spacing w:val="6"/>
          <w:sz w:val="30"/>
          <w:szCs w:val="30"/>
          <w:shd w:val="clear" w:color="auto" w:fill="FFFFFF"/>
        </w:rPr>
      </w:pPr>
    </w:p>
    <w:p>
      <w:pPr>
        <w:spacing w:line="590" w:lineRule="exact"/>
        <w:rPr>
          <w:rFonts w:hint="eastAsia" w:ascii="楷体_GB2312" w:hAnsi="楷体_GB2312" w:eastAsia="楷体_GB2312" w:cs="楷体_GB2312"/>
          <w:spacing w:val="6"/>
          <w:sz w:val="30"/>
          <w:szCs w:val="30"/>
        </w:rPr>
      </w:pPr>
      <w:r>
        <w:rPr>
          <w:rFonts w:hint="eastAsia" w:ascii="楷体_GB2312" w:hAnsi="楷体_GB2312" w:eastAsia="楷体_GB2312" w:cs="楷体_GB2312"/>
          <w:spacing w:val="6"/>
          <w:sz w:val="30"/>
          <w:szCs w:val="30"/>
        </w:rPr>
        <w:t>各县（区）农工委，武安市、永年区农牧局，冀南新区、经济开发区党工委、管委会，市直有关单位：</w:t>
      </w:r>
    </w:p>
    <w:p>
      <w:pPr>
        <w:spacing w:line="590" w:lineRule="exact"/>
        <w:ind w:firstLine="780" w:firstLineChars="250"/>
        <w:rPr>
          <w:rFonts w:hint="eastAsia" w:ascii="楷体_GB2312" w:hAnsi="楷体_GB2312" w:eastAsia="楷体_GB2312" w:cs="楷体_GB2312"/>
          <w:spacing w:val="6"/>
          <w:sz w:val="30"/>
          <w:szCs w:val="30"/>
        </w:rPr>
      </w:pPr>
      <w:r>
        <w:rPr>
          <w:rFonts w:hint="eastAsia" w:ascii="楷体_GB2312" w:hAnsi="楷体_GB2312" w:eastAsia="楷体_GB2312" w:cs="楷体_GB2312"/>
          <w:spacing w:val="6"/>
          <w:sz w:val="30"/>
          <w:szCs w:val="30"/>
        </w:rPr>
        <w:t>现将《邯郸市农村集体资产清产核资工作实施方案》印发给你们，请认真遵照执行。</w:t>
      </w:r>
    </w:p>
    <w:p>
      <w:pPr>
        <w:snapToGrid w:val="0"/>
        <w:spacing w:line="590" w:lineRule="exact"/>
        <w:ind w:firstLine="624" w:firstLineChars="200"/>
        <w:rPr>
          <w:rFonts w:hint="eastAsia" w:ascii="楷体_GB2312" w:hAnsi="楷体_GB2312" w:eastAsia="楷体_GB2312" w:cs="楷体_GB2312"/>
          <w:color w:val="000000"/>
          <w:spacing w:val="6"/>
          <w:sz w:val="30"/>
          <w:szCs w:val="30"/>
        </w:rPr>
      </w:pPr>
    </w:p>
    <w:p>
      <w:pPr>
        <w:tabs>
          <w:tab w:val="left" w:pos="7740"/>
        </w:tabs>
        <w:spacing w:line="590" w:lineRule="exact"/>
        <w:rPr>
          <w:rFonts w:hint="eastAsia" w:ascii="楷体_GB2312" w:hAnsi="楷体_GB2312" w:eastAsia="楷体_GB2312" w:cs="楷体_GB2312"/>
          <w:bCs/>
          <w:color w:val="000000"/>
          <w:spacing w:val="6"/>
          <w:sz w:val="30"/>
          <w:szCs w:val="30"/>
          <w:lang w:val="eu-ES"/>
        </w:rPr>
      </w:pPr>
      <w:r>
        <w:rPr>
          <w:rFonts w:hint="eastAsia" w:ascii="楷体_GB2312" w:hAnsi="楷体_GB2312" w:eastAsia="楷体_GB2312" w:cs="楷体_GB2312"/>
          <w:color w:val="000000"/>
          <w:spacing w:val="6"/>
          <w:sz w:val="30"/>
          <w:szCs w:val="30"/>
        </w:rPr>
        <w:t xml:space="preserve">         </w:t>
      </w:r>
      <w:r>
        <w:rPr>
          <w:rFonts w:hint="eastAsia" w:ascii="楷体_GB2312" w:hAnsi="楷体_GB2312" w:eastAsia="楷体_GB2312" w:cs="楷体_GB2312"/>
          <w:bCs/>
          <w:color w:val="000000"/>
          <w:spacing w:val="6"/>
          <w:sz w:val="30"/>
          <w:szCs w:val="30"/>
          <w:lang w:val="eu-ES"/>
        </w:rPr>
        <w:t xml:space="preserve">                  中共邯郸市委农工委（农办）</w:t>
      </w:r>
    </w:p>
    <w:p>
      <w:pPr>
        <w:spacing w:line="590" w:lineRule="exact"/>
        <w:jc w:val="center"/>
        <w:rPr>
          <w:rFonts w:hint="eastAsia" w:ascii="楷体_GB2312" w:hAnsi="楷体_GB2312" w:eastAsia="楷体_GB2312" w:cs="楷体_GB2312"/>
          <w:color w:val="000000"/>
          <w:spacing w:val="6"/>
          <w:sz w:val="30"/>
          <w:szCs w:val="30"/>
        </w:rPr>
      </w:pPr>
      <w:r>
        <w:rPr>
          <w:rFonts w:hint="eastAsia" w:ascii="楷体_GB2312" w:hAnsi="楷体_GB2312" w:eastAsia="楷体_GB2312" w:cs="楷体_GB2312"/>
          <w:bCs/>
          <w:color w:val="000000"/>
          <w:spacing w:val="6"/>
          <w:sz w:val="30"/>
          <w:szCs w:val="30"/>
          <w:lang w:val="eu-ES"/>
        </w:rPr>
        <w:t xml:space="preserve">                      201</w:t>
      </w:r>
      <w:r>
        <w:rPr>
          <w:rFonts w:hint="eastAsia" w:ascii="楷体_GB2312" w:hAnsi="楷体_GB2312" w:eastAsia="楷体_GB2312" w:cs="楷体_GB2312"/>
          <w:bCs/>
          <w:color w:val="000000"/>
          <w:spacing w:val="6"/>
          <w:sz w:val="30"/>
          <w:szCs w:val="30"/>
        </w:rPr>
        <w:t>8</w:t>
      </w:r>
      <w:r>
        <w:rPr>
          <w:rFonts w:hint="eastAsia" w:ascii="楷体_GB2312" w:hAnsi="楷体_GB2312" w:eastAsia="楷体_GB2312" w:cs="楷体_GB2312"/>
          <w:bCs/>
          <w:color w:val="000000"/>
          <w:spacing w:val="6"/>
          <w:sz w:val="30"/>
          <w:szCs w:val="30"/>
          <w:lang w:val="eu-ES"/>
        </w:rPr>
        <w:t>年2月27日</w:t>
      </w:r>
    </w:p>
    <w:p>
      <w:pPr>
        <w:snapToGrid w:val="0"/>
        <w:spacing w:line="590" w:lineRule="exact"/>
        <w:jc w:val="center"/>
        <w:rPr>
          <w:rFonts w:hint="eastAsia" w:ascii="仿宋_GB2312" w:eastAsia="仿宋_GB2312"/>
          <w:color w:val="000000"/>
          <w:spacing w:val="6"/>
          <w:sz w:val="30"/>
          <w:szCs w:val="30"/>
        </w:rPr>
      </w:pPr>
      <w:r>
        <w:rPr>
          <w:rFonts w:ascii="仿宋_GB2312" w:eastAsia="仿宋_GB2312"/>
          <w:color w:val="000000"/>
          <w:spacing w:val="6"/>
          <w:sz w:val="30"/>
          <w:szCs w:val="30"/>
        </w:rPr>
        <w:br w:type="page"/>
      </w:r>
    </w:p>
    <w:p>
      <w:pPr>
        <w:spacing w:line="590" w:lineRule="exact"/>
        <w:jc w:val="center"/>
        <w:rPr>
          <w:rFonts w:hint="eastAsia" w:ascii="方正小标宋简体" w:hAnsi="方正小标宋简体" w:eastAsia="方正小标宋简体" w:cs="方正小标宋简体"/>
          <w:color w:val="000000"/>
          <w:spacing w:val="6"/>
          <w:kern w:val="0"/>
          <w:sz w:val="40"/>
          <w:szCs w:val="40"/>
        </w:rPr>
      </w:pPr>
      <w:r>
        <w:rPr>
          <w:rFonts w:hint="eastAsia" w:ascii="方正小标宋简体" w:hAnsi="方正小标宋简体" w:eastAsia="方正小标宋简体" w:cs="方正小标宋简体"/>
          <w:color w:val="000000"/>
          <w:spacing w:val="6"/>
          <w:kern w:val="0"/>
          <w:sz w:val="40"/>
          <w:szCs w:val="40"/>
        </w:rPr>
        <w:t>邯郸市农村集体资产清产核资工作</w:t>
      </w:r>
    </w:p>
    <w:p>
      <w:pPr>
        <w:spacing w:line="590" w:lineRule="exact"/>
        <w:jc w:val="center"/>
        <w:rPr>
          <w:rFonts w:hint="eastAsia" w:ascii="方正小标宋_GBK" w:hAnsi="宋体" w:eastAsia="方正小标宋_GBK"/>
          <w:color w:val="000000"/>
          <w:spacing w:val="6"/>
          <w:kern w:val="0"/>
          <w:sz w:val="40"/>
          <w:szCs w:val="40"/>
        </w:rPr>
      </w:pPr>
      <w:r>
        <w:rPr>
          <w:rFonts w:hint="eastAsia" w:ascii="方正小标宋简体" w:hAnsi="方正小标宋简体" w:eastAsia="方正小标宋简体" w:cs="方正小标宋简体"/>
          <w:color w:val="000000"/>
          <w:spacing w:val="6"/>
          <w:kern w:val="0"/>
          <w:sz w:val="40"/>
          <w:szCs w:val="40"/>
        </w:rPr>
        <w:t>实  施  方  案</w:t>
      </w:r>
    </w:p>
    <w:p>
      <w:pPr>
        <w:spacing w:line="590" w:lineRule="exact"/>
        <w:ind w:left="10" w:leftChars="5" w:right="93" w:firstLine="624" w:firstLineChars="200"/>
        <w:jc w:val="left"/>
        <w:rPr>
          <w:rFonts w:hint="eastAsia" w:ascii="仿宋" w:hAnsi="仿宋" w:eastAsia="仿宋" w:cs="仿宋"/>
          <w:color w:val="333333"/>
          <w:spacing w:val="6"/>
          <w:sz w:val="30"/>
          <w:szCs w:val="30"/>
          <w:shd w:val="clear" w:color="auto" w:fill="FFFFFF"/>
        </w:rPr>
      </w:pPr>
    </w:p>
    <w:p>
      <w:pPr>
        <w:spacing w:line="590" w:lineRule="exact"/>
        <w:ind w:left="10" w:leftChars="5" w:right="93" w:firstLine="624" w:firstLineChars="20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为做好农村集体</w:t>
      </w:r>
      <w:r>
        <w:rPr>
          <w:rFonts w:hint="eastAsia" w:ascii="仿宋_GB2312" w:hAnsi="仿宋_GB2312" w:eastAsia="仿宋_GB2312" w:cs="仿宋_GB2312"/>
          <w:color w:val="000000"/>
          <w:spacing w:val="6"/>
          <w:sz w:val="30"/>
          <w:szCs w:val="30"/>
          <w:shd w:val="clear" w:color="auto" w:fill="FFFFFF"/>
        </w:rPr>
        <w:t>资产清产核资工作，推进农村集体</w:t>
      </w:r>
      <w:r>
        <w:rPr>
          <w:rFonts w:hint="eastAsia" w:ascii="仿宋_GB2312" w:hAnsi="仿宋_GB2312" w:eastAsia="仿宋_GB2312" w:cs="仿宋_GB2312"/>
          <w:color w:val="000000"/>
          <w:spacing w:val="6"/>
          <w:sz w:val="30"/>
          <w:szCs w:val="30"/>
        </w:rPr>
        <w:t>产权制度改革顺利开展，按照河北省委、省政府《关于稳步推进农村集体产权制度改革的实施意见》（冀发〔2017〕21号）和邯郸市委、市政府《关于农村集体产权制度改革的实施方案》（邯字〔2018〕1号）》有关要求，制定如下实施方案。</w:t>
      </w:r>
    </w:p>
    <w:p>
      <w:pPr>
        <w:spacing w:line="590" w:lineRule="exact"/>
        <w:ind w:firstLine="624" w:firstLineChars="200"/>
        <w:rPr>
          <w:rFonts w:hint="eastAsia" w:ascii="黑体" w:hAnsi="黑体" w:eastAsia="黑体" w:cs="黑体"/>
          <w:bCs/>
          <w:color w:val="000000"/>
          <w:spacing w:val="6"/>
          <w:sz w:val="30"/>
          <w:szCs w:val="30"/>
        </w:rPr>
      </w:pPr>
      <w:r>
        <w:rPr>
          <w:rFonts w:hint="eastAsia" w:ascii="黑体" w:hAnsi="黑体" w:eastAsia="黑体" w:cs="黑体"/>
          <w:bCs/>
          <w:color w:val="000000"/>
          <w:spacing w:val="6"/>
          <w:sz w:val="30"/>
          <w:szCs w:val="30"/>
        </w:rPr>
        <w:t>一、总体要求</w:t>
      </w:r>
    </w:p>
    <w:p>
      <w:pPr>
        <w:pStyle w:val="6"/>
        <w:spacing w:before="0" w:beforeAutospacing="0" w:after="0" w:afterAutospacing="0" w:line="590" w:lineRule="exact"/>
        <w:ind w:firstLine="640"/>
        <w:jc w:val="both"/>
        <w:rPr>
          <w:rFonts w:hint="eastAsia" w:ascii="仿宋_GB2312" w:hAnsi="仿宋_GB2312" w:eastAsia="仿宋_GB2312" w:cs="仿宋_GB2312"/>
          <w:color w:val="000000"/>
          <w:spacing w:val="6"/>
          <w:kern w:val="2"/>
          <w:sz w:val="30"/>
          <w:szCs w:val="30"/>
        </w:rPr>
      </w:pPr>
      <w:r>
        <w:rPr>
          <w:rFonts w:hint="eastAsia" w:ascii="仿宋_GB2312" w:hAnsi="仿宋_GB2312" w:eastAsia="仿宋_GB2312" w:cs="仿宋_GB2312"/>
          <w:color w:val="000000"/>
          <w:spacing w:val="6"/>
          <w:kern w:val="2"/>
          <w:sz w:val="30"/>
          <w:szCs w:val="30"/>
        </w:rPr>
        <w:t>清产核资的总体要求是：通过对集体经营性资产、资源性资产和非经营性资产的全面清查核实，摸清集体所有资金、资产和资源的存量、结构、分布等实际状况，依法界定集体资产权属，建立健全集体资产资源登记薄及信息化管理制度，为开展农村集体产权制度改革，进一步加强集体资产管理奠定基础。</w:t>
      </w:r>
    </w:p>
    <w:p>
      <w:pPr>
        <w:pStyle w:val="6"/>
        <w:numPr>
          <w:ilvl w:val="0"/>
          <w:numId w:val="1"/>
        </w:numPr>
        <w:spacing w:before="0" w:beforeAutospacing="0" w:after="0" w:afterAutospacing="0" w:line="590" w:lineRule="exact"/>
        <w:ind w:firstLine="640"/>
        <w:jc w:val="both"/>
        <w:rPr>
          <w:rFonts w:hint="eastAsia" w:ascii="仿宋_GB2312" w:hAnsi="仿宋_GB2312" w:eastAsia="仿宋_GB2312" w:cs="仿宋_GB2312"/>
          <w:color w:val="000000"/>
          <w:spacing w:val="6"/>
          <w:kern w:val="2"/>
          <w:sz w:val="30"/>
          <w:szCs w:val="30"/>
        </w:rPr>
      </w:pPr>
      <w:r>
        <w:rPr>
          <w:rFonts w:hint="eastAsia" w:ascii="仿宋_GB2312" w:hAnsi="仿宋_GB2312" w:eastAsia="仿宋_GB2312" w:cs="仿宋_GB2312"/>
          <w:color w:val="000000"/>
          <w:spacing w:val="6"/>
          <w:kern w:val="2"/>
          <w:sz w:val="30"/>
          <w:szCs w:val="30"/>
        </w:rPr>
        <w:t>对象范围</w:t>
      </w:r>
    </w:p>
    <w:p>
      <w:pPr>
        <w:pStyle w:val="6"/>
        <w:spacing w:before="0" w:beforeAutospacing="0" w:after="0" w:afterAutospacing="0" w:line="590" w:lineRule="exact"/>
        <w:ind w:firstLine="624" w:firstLineChars="200"/>
        <w:jc w:val="both"/>
        <w:rPr>
          <w:rFonts w:hint="eastAsia" w:ascii="仿宋_GB2312" w:hAnsi="仿宋_GB2312" w:eastAsia="仿宋_GB2312" w:cs="仿宋_GB2312"/>
          <w:bCs/>
          <w:color w:val="000000"/>
          <w:spacing w:val="6"/>
          <w:sz w:val="30"/>
          <w:szCs w:val="30"/>
        </w:rPr>
      </w:pPr>
      <w:r>
        <w:rPr>
          <w:rFonts w:hint="eastAsia" w:ascii="仿宋_GB2312" w:hAnsi="仿宋_GB2312" w:eastAsia="仿宋_GB2312" w:cs="仿宋_GB2312"/>
          <w:color w:val="000000"/>
          <w:spacing w:val="6"/>
          <w:kern w:val="2"/>
          <w:sz w:val="30"/>
          <w:szCs w:val="30"/>
        </w:rPr>
        <w:t>农村集体清产核资工作范围包括：乡（镇）、村、组集体经济组织，包括未建立乡（镇）、村、组集体经济组织以及乡（镇）村、组集体经济组织不健全，代行其集体资产管理职能的乡（镇）政府、村民委员会、村民小组或其他单位等。清产核资内容：农村集体所有资产应进行全面清产核资，包括：农民集体所有的土地、四荒地、滩涂等资源性资产；用于经营的房屋、建筑物、机器设备、工具器具、农业基础设施、集体投资兴办的企业及其所持有的其他经济组织的资产份额、无形资产等经营性资产；用于公共服务的教育、科技、文化、卫生、体育等方面的非经营性资产。重点清查核</w:t>
      </w:r>
      <w:r>
        <w:rPr>
          <w:rFonts w:hint="eastAsia" w:ascii="仿宋_GB2312" w:hAnsi="仿宋_GB2312" w:eastAsia="仿宋_GB2312" w:cs="仿宋_GB2312"/>
          <w:bCs/>
          <w:color w:val="000000"/>
          <w:spacing w:val="6"/>
          <w:sz w:val="30"/>
          <w:szCs w:val="30"/>
        </w:rPr>
        <w:t>实未承包到户的资源性资产和集体统一经营的经营性资产以及现金、债权债务等。</w:t>
      </w:r>
    </w:p>
    <w:p>
      <w:pPr>
        <w:pStyle w:val="6"/>
        <w:spacing w:before="0" w:beforeAutospacing="0" w:after="0" w:afterAutospacing="0" w:line="590" w:lineRule="exact"/>
        <w:jc w:val="both"/>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shd w:val="clear" w:color="auto" w:fill="FFFFFF"/>
        </w:rPr>
        <w:t>　　（二）基本原则</w:t>
      </w:r>
    </w:p>
    <w:p>
      <w:pPr>
        <w:spacing w:line="590" w:lineRule="exact"/>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shd w:val="clear" w:color="auto" w:fill="FFFFFF"/>
        </w:rPr>
        <w:t>　</w:t>
      </w:r>
      <w:r>
        <w:rPr>
          <w:rFonts w:hint="eastAsia" w:ascii="仿宋_GB2312" w:hAnsi="仿宋_GB2312" w:eastAsia="仿宋_GB2312" w:cs="仿宋_GB2312"/>
          <w:color w:val="000000"/>
          <w:spacing w:val="6"/>
          <w:sz w:val="30"/>
          <w:szCs w:val="30"/>
        </w:rPr>
        <w:t>　1.坚持依法依规与民主决策相结合。依照国家、省、市加强农村集体资产管理的有关规定，对清产核资工作实行民主决策，保障农民群众的决策权和监督权。</w:t>
      </w:r>
    </w:p>
    <w:p>
      <w:pPr>
        <w:spacing w:line="590" w:lineRule="exact"/>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　　2.坚持程序规范与全程公开相结合。乡（镇）、村、组要按照规范程序组织实施，清产核资全过程全部公开，二次公示清产核资结果，保障农民群众的知情权。</w:t>
      </w:r>
    </w:p>
    <w:p>
      <w:pPr>
        <w:spacing w:line="590" w:lineRule="exact"/>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　　3.坚持专业清查与群众参与相结合。确需聘用有资质的专业机构进行清产核资的村集体经济组织，要吸收老党员、老干部、村民代表等了解村情的人员共同参与清产核资各阶段的工作，保障农民群众的参与权。</w:t>
      </w:r>
    </w:p>
    <w:p>
      <w:pPr>
        <w:spacing w:line="590" w:lineRule="exact"/>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　　4.坚持账内清查与账外核实相结合。对固定资产要以账面数为基础，账内账外相结合，逐笔逐项清查核实；对资源性资产，以村保存的历史资料为基础，采取实地查看与重新测量相结合的办法进行清查核实。做到数额无误、产权明确、现状清楚、群众认可，确保清产核资结果真实准确。</w:t>
      </w:r>
    </w:p>
    <w:p>
      <w:pPr>
        <w:pStyle w:val="6"/>
        <w:spacing w:before="0" w:beforeAutospacing="0" w:after="0" w:afterAutospacing="0" w:line="590" w:lineRule="exact"/>
        <w:jc w:val="both"/>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shd w:val="clear" w:color="auto" w:fill="FFFFFF"/>
        </w:rPr>
        <w:t>　</w:t>
      </w:r>
      <w:r>
        <w:rPr>
          <w:rFonts w:hint="eastAsia" w:ascii="仿宋_GB2312" w:hAnsi="仿宋_GB2312" w:eastAsia="仿宋_GB2312" w:cs="仿宋_GB2312"/>
          <w:color w:val="000000"/>
          <w:spacing w:val="6"/>
          <w:kern w:val="2"/>
          <w:sz w:val="30"/>
          <w:szCs w:val="30"/>
        </w:rPr>
        <w:t>　</w:t>
      </w:r>
      <w:r>
        <w:rPr>
          <w:rFonts w:hint="eastAsia" w:ascii="黑体" w:hAnsi="黑体" w:eastAsia="黑体" w:cs="黑体"/>
          <w:color w:val="000000"/>
          <w:spacing w:val="6"/>
          <w:kern w:val="2"/>
          <w:sz w:val="30"/>
          <w:szCs w:val="30"/>
        </w:rPr>
        <w:t>二、工作程序</w:t>
      </w:r>
    </w:p>
    <w:p>
      <w:pPr>
        <w:spacing w:line="590" w:lineRule="exact"/>
        <w:ind w:firstLine="624" w:firstLineChars="20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清产核资一般以村为单位开展，属于乡（镇）或村民小组农民集体所有的以乡（镇）或村民小组为单位开展，不能打破原集体所有界限。清产核资工作一般遵循广泛宣传发动、组建工作机构、制定工作方案、清理核实资产、进行权属界定、开展价值评估、公开公示结果、核销调整账务、归档整理造册、建立健全台账、纳入信息平台、审核上报备案、完善规章制度等基本程序。</w:t>
      </w:r>
    </w:p>
    <w:p>
      <w:pPr>
        <w:numPr>
          <w:ilvl w:val="0"/>
          <w:numId w:val="2"/>
        </w:numPr>
        <w:spacing w:line="590" w:lineRule="exact"/>
        <w:ind w:right="14" w:firstLine="624" w:firstLineChars="20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广泛宣传发动。充分利用各种媒体以及通过印发明白纸、宣传册等形式，广泛宣传农村集体产权制度改革的重大意义和清产核资的必要性，使乡村干部和广大群众提高认识，增强参与改革的积极性、主动性。</w:t>
      </w:r>
    </w:p>
    <w:p>
      <w:pPr>
        <w:numPr>
          <w:ilvl w:val="0"/>
          <w:numId w:val="2"/>
        </w:numPr>
        <w:spacing w:line="590" w:lineRule="exact"/>
        <w:ind w:right="14" w:firstLine="624" w:firstLineChars="20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组建工作机构。凡列入清产核资工作范围的单位都要组建清产核资工作小组，吸收村干部、党员代表、村务监督委员会成员、集体经济组织成员代表、财会人员等参加，负责组织实施资产清查、实物盘点、价值评估等相应工作。对集体资产存量较大的村、组，农民群众有要求且确有必要的，经集体经济组织成员大会或代表大会决议，可以委托有资质的中介机构进行资产评估。</w:t>
      </w:r>
    </w:p>
    <w:p>
      <w:pPr>
        <w:numPr>
          <w:ilvl w:val="0"/>
          <w:numId w:val="2"/>
        </w:numPr>
        <w:spacing w:line="590" w:lineRule="exact"/>
        <w:ind w:right="14" w:firstLine="624" w:firstLineChars="20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制定工作方案。乡（镇）、村、组集体经济组织要制定清产核资实施方案，报乡(镇)政府备案。内容应包括：清产核资工作机构情况、工作目标、工作内容、步骤、时间安排等。</w:t>
      </w:r>
    </w:p>
    <w:p>
      <w:pPr>
        <w:numPr>
          <w:ilvl w:val="0"/>
          <w:numId w:val="2"/>
        </w:numPr>
        <w:spacing w:line="590" w:lineRule="exact"/>
        <w:ind w:right="14" w:firstLine="624" w:firstLineChars="20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细化清查内容。乡（镇）、村、组集体经济组织清产核资工作小组要按照清产核资实施方案，对农村集体所有的各类资产进行全面清产核资，登记造册。在摸清农村集体资源性资产、经营性资产、非经营性资产整体情况的基础上，重点清查核实未承包到户的资源性资产和集体统一经营的经营性资产以及现金、债权债务等，查实存量、价值和使用情况，做到账证相符和账实相符。</w:t>
      </w:r>
    </w:p>
    <w:p>
      <w:pPr>
        <w:numPr>
          <w:ilvl w:val="0"/>
          <w:numId w:val="2"/>
        </w:numPr>
        <w:spacing w:line="590" w:lineRule="exact"/>
        <w:ind w:right="14" w:firstLine="624" w:firstLineChars="20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规范处置资产。对清查出的应入账但未登记入账的资产，经核对公示后登记入账；对有账无物或者核算不准确的资产，经核对公示后调整账目；对长期借出或者未按规定程序租赁转让的资产，要清理收回或者补办相关手续；对侵占集体资金和资产的，要督促当事人如数退赔；对涉及违规违纪的移交纪检监察机关处理，构成犯罪的移交司法机关依法追究当事人的刑事责任。乡（镇）农经管理机构应及时对集体经济组织上报的有关清产核资结果进行核查。</w:t>
      </w:r>
    </w:p>
    <w:p>
      <w:pPr>
        <w:spacing w:line="590" w:lineRule="exact"/>
        <w:ind w:right="14" w:firstLine="624" w:firstLineChars="20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六）建立集体资产资源登记管理制度。清产核资结果应向本集体经济组织全体成员公示，公示期不少于7天，群众有异议的，整改后进行二次公示，公示期不少于5天，二次公示后的清产核资结果经成员大会或代表大会确认，报乡镇政府审核、县级农经部门备案。集体经济组织代表集体行使所有权并对所有清产核资核实后的集体资产按照资产类别进行管理。未成立集体经济组织的由相应的村民委员会、村民小组代表集体行使所有权。要建立固定资产管理台账，登记固定资产的基本情况及承包租赁等情况；建立集体土地资源登记簿，登记承包租赁、投资入股和土地资源存量等情况；搞好集体建设用地使用权等重点事项的登记。</w:t>
      </w:r>
    </w:p>
    <w:p>
      <w:pPr>
        <w:spacing w:line="590" w:lineRule="exact"/>
        <w:ind w:right="14" w:firstLine="468" w:firstLineChars="15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七）加强农村集体资产财务管理。清产核资后的集体经济组织要建立健全各项财务管理制度和会计核算办法，对涉及盘盈盘亏的资产进行账务调整，完善相关清查登记表。乡（镇）农经部门要加快建立完善农村集体资产监督管理平台，实现集体资金、资产、资源管理信息化，指导落实集体财务公开制度和集体经济组织成员的监督管理权。加强县、乡（镇）农村经营管理体系建设，强化对集体经济组织的指导监督，做好日常财务收支等定期审计及村干部任期和离任经济责任等专项审计。</w:t>
      </w:r>
    </w:p>
    <w:p>
      <w:pPr>
        <w:spacing w:line="590" w:lineRule="exact"/>
        <w:ind w:right="14" w:firstLine="468" w:firstLineChars="15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八）上报清产核资结果。自开展清产核资工作7个月内，农村集体经济组织应将清产核资结果（清查登记表、资产负债表）及清产核资报告上报乡镇农经管理机构，乡镇农经管理机构要将清产核资结果（清查登记表、资产负债表）汇总，逐级上报。</w:t>
      </w:r>
    </w:p>
    <w:p>
      <w:pPr>
        <w:pStyle w:val="3"/>
        <w:spacing w:line="590" w:lineRule="exact"/>
        <w:ind w:firstLine="624" w:firstLineChars="200"/>
        <w:rPr>
          <w:rFonts w:hint="eastAsia" w:ascii="黑体" w:hAnsi="黑体" w:eastAsia="黑体" w:cs="黑体"/>
          <w:bCs/>
          <w:color w:val="000000"/>
          <w:spacing w:val="6"/>
          <w:sz w:val="30"/>
          <w:szCs w:val="30"/>
        </w:rPr>
      </w:pPr>
      <w:r>
        <w:rPr>
          <w:rFonts w:hint="eastAsia" w:ascii="黑体" w:hAnsi="黑体" w:eastAsia="黑体" w:cs="黑体"/>
          <w:bCs/>
          <w:color w:val="000000"/>
          <w:spacing w:val="6"/>
          <w:sz w:val="30"/>
          <w:szCs w:val="30"/>
        </w:rPr>
        <w:t>三、工作步骤</w:t>
      </w:r>
    </w:p>
    <w:p>
      <w:pPr>
        <w:pStyle w:val="3"/>
        <w:spacing w:line="590" w:lineRule="exact"/>
        <w:ind w:firstLine="624" w:firstLineChars="20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kern w:val="0"/>
          <w:sz w:val="30"/>
          <w:szCs w:val="30"/>
        </w:rPr>
        <w:t>（一）准备阶段</w:t>
      </w:r>
      <w:r>
        <w:rPr>
          <w:rFonts w:hint="eastAsia" w:ascii="仿宋_GB2312" w:hAnsi="仿宋_GB2312" w:eastAsia="仿宋_GB2312" w:cs="仿宋_GB2312"/>
          <w:color w:val="000000"/>
          <w:spacing w:val="6"/>
          <w:sz w:val="30"/>
          <w:szCs w:val="30"/>
        </w:rPr>
        <w:t>（2018年3月底前完成）</w:t>
      </w:r>
    </w:p>
    <w:p>
      <w:pPr>
        <w:pStyle w:val="3"/>
        <w:spacing w:line="590" w:lineRule="exact"/>
        <w:ind w:firstLine="624" w:firstLineChars="20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 xml:space="preserve">1.建立领导机构和工作机构。市农村集体产权制度改革工作领导小组，组织领导此次全市清产核资工作。各县（市、区）、乡（镇）要建立相应的领导机构和工作机构，组织专门工作班子抓具体工作。村级成立由村党支部、村委会、村务监督委员会、村集体经济组织主要负责人和村会计人员、集体经济组织成员代表等人员组成的清产核资工作实施小组，具体负责村级集体资产清产核资工作。  </w:t>
      </w:r>
    </w:p>
    <w:p>
      <w:pPr>
        <w:pStyle w:val="3"/>
        <w:spacing w:line="590" w:lineRule="exact"/>
        <w:ind w:firstLine="675"/>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2.制定实施方案。2018年2月底前，市级完成清产核资方案制定。各县（市、区）要在3月15日前完成清产核资方案制定，各乡（镇）、村根据统一要求，结合各自实际，3月底前制定具体实施方案，乡（镇）实施方案报县级农村集体资产清产核资工作领导小组办公室审核备案，村实施方案报乡镇农村集体资产清产核资工作领导小组备案。</w:t>
      </w:r>
    </w:p>
    <w:p>
      <w:pPr>
        <w:pStyle w:val="3"/>
        <w:spacing w:line="590" w:lineRule="exact"/>
        <w:ind w:firstLine="63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3.加强舆论宣传。组织各类新闻媒体，加强对清产核资工作的宣传，使广大农民群众充分了解此次清产核资工作的重要意义、主要任务和工作要求，支持配合工作开展，为清产核资工作营造良好氛围。</w:t>
      </w:r>
    </w:p>
    <w:p>
      <w:pPr>
        <w:pStyle w:val="3"/>
        <w:spacing w:line="590" w:lineRule="exact"/>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 xml:space="preserve">    4.组织业务培训。市级开展清产核资工作专题培训，重点培训县级、乡（镇）有关工作人员。县级也要对乡（镇）以及村（组）清产核资工作实施小组人员进行培训，明确清产核资工作要求、有关政策规定和统计口径等。</w:t>
      </w:r>
    </w:p>
    <w:p>
      <w:pPr>
        <w:pStyle w:val="3"/>
        <w:spacing w:line="590" w:lineRule="exact"/>
        <w:ind w:firstLine="630"/>
        <w:rPr>
          <w:rFonts w:hint="eastAsia" w:ascii="仿宋_GB2312" w:hAnsi="仿宋_GB2312" w:eastAsia="仿宋_GB2312" w:cs="仿宋_GB2312"/>
          <w:b/>
          <w:bCs/>
          <w:color w:val="000000"/>
          <w:spacing w:val="6"/>
          <w:sz w:val="30"/>
          <w:szCs w:val="30"/>
        </w:rPr>
      </w:pPr>
      <w:r>
        <w:rPr>
          <w:rFonts w:hint="eastAsia" w:ascii="仿宋_GB2312" w:hAnsi="仿宋_GB2312" w:eastAsia="仿宋_GB2312" w:cs="仿宋_GB2312"/>
          <w:color w:val="000000"/>
          <w:spacing w:val="6"/>
          <w:kern w:val="0"/>
          <w:sz w:val="30"/>
          <w:szCs w:val="30"/>
        </w:rPr>
        <w:t>（二）实施阶段</w:t>
      </w:r>
      <w:r>
        <w:rPr>
          <w:rFonts w:hint="eastAsia" w:ascii="仿宋_GB2312" w:hAnsi="仿宋_GB2312" w:eastAsia="仿宋_GB2312" w:cs="仿宋_GB2312"/>
          <w:color w:val="000000"/>
          <w:spacing w:val="6"/>
          <w:sz w:val="30"/>
          <w:szCs w:val="30"/>
        </w:rPr>
        <w:t>（2018年4月1日-10月31日）</w:t>
      </w:r>
    </w:p>
    <w:p>
      <w:pPr>
        <w:pStyle w:val="3"/>
        <w:spacing w:line="590" w:lineRule="exact"/>
        <w:ind w:firstLine="767" w:firstLineChars="246"/>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村（组）清产核资工作小组在县、乡（镇）清产核资领导小组指导下，按照具体实施方案，对本村（组）集体经济组织所有资产进行全面清理核实。对清理结果进行二次公示，建立集体资产管理台账，完善集体三资管理平台，录入清产核资数据。村（组）、乡（镇）、县（市、区）逐级上报清产核资结果。</w:t>
      </w:r>
    </w:p>
    <w:p>
      <w:pPr>
        <w:pStyle w:val="3"/>
        <w:spacing w:line="590" w:lineRule="exact"/>
        <w:ind w:firstLine="63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1. “三资”清查（4月1日-5月31日）。乡、村、组清产核资工作小组对集体资产资源资金进行清查核实，履行清查核实程序和要求，登记各种清查登记表。</w:t>
      </w:r>
    </w:p>
    <w:p>
      <w:pPr>
        <w:pStyle w:val="3"/>
        <w:spacing w:line="590" w:lineRule="exact"/>
        <w:ind w:firstLine="63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按照有关会计制度核算要求，确保各项收支业务、资产、负债完整准确入账，保证账账相符、账证相符、账实相符，编制清产核资基准日的各类会计报表及明细表。对各项资金、资产、资源及负债和所有者权益进行全面的清理、核对和查实，填写《农村集体资产清产核资报表》。逐项清理所有货币资金、应收及预付账款、对外投资、存货、固定资产和账外资产、资源，做好有关抵押、担保等事项的清理。同时梳理资产、资源的承包租赁协议、合同，整理债权债务发生的有关书面证明资料。在清查盘点过程中，要充分依靠各村、组干部和群众，重点对固定资产和资源性资产进行清查盘点。对固定资产要以账面数为基础，账内账外相结合，逐笔逐项盘点；对资源性资产，结合国土部门确权登记数据，实现村集体土地的全面登记和覆盖。采取实地查看与测量数据相结合的办法进行盘点。对清查中遇到的问题，要按照尊重历史与民主决策的原则，集体研究处理。</w:t>
      </w:r>
    </w:p>
    <w:p>
      <w:pPr>
        <w:pStyle w:val="3"/>
        <w:spacing w:line="590" w:lineRule="exact"/>
        <w:ind w:firstLine="63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2.资产评估（6月1日-30日）。对有物有账的固定资产，按原值登记；对有物无账的固定资产或价值不清的其他资产，由村（组）集体讨论确定评估价值，也可聘请评估机构进行评估确认价值；对报废、有账无物的不实资产，由村（组）清产核资实施小组拟定处理意见，经公示无异议后，列为报废和盘亏资产。</w:t>
      </w:r>
    </w:p>
    <w:p>
      <w:pPr>
        <w:pStyle w:val="3"/>
        <w:spacing w:line="590" w:lineRule="exact"/>
        <w:ind w:firstLine="63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3.权属界定（7月1日-31日）。对权属不清、存在争议的资产、资源，按照“谁投资、谁所有、谁管理”的原则，由村清产核资实施小组拟定处理意见，经公示群众认可的权属暂时予以登记，同时上报乡镇清产核资工作领导小组协调处理，待权属明了后，再作调整。各涉农部门投入农村的“两室”、文体、教育、卫生、水利、道路、电力等设备设施要按照财政资金管理办法要求，确定权属和责任权限。各部门投入的资金资产，根据部门意愿结合村（组）决定其归属，应该移交村级集体的要办理移交手续，新发生的要在工程竣工一个月内办理移交手续。</w:t>
      </w:r>
    </w:p>
    <w:p>
      <w:pPr>
        <w:pStyle w:val="3"/>
        <w:spacing w:line="590" w:lineRule="exact"/>
        <w:ind w:firstLine="63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4.公开公示（8月1日-31日）。清理工作完成后，由村务监督委员对“三资”数额、权属、台账与实物、处置与管理等情况进行核实，做到数额无误、产权明确、现状清楚。村清产核资实施小组应及时制定清查结果公示方案，将资产核实的初步结果在村务公开栏中公示，公示时间不得少于7天，并保存好相应的影像资料。公示期间，村里安排有关人员受理群众咨询和反映，并认真做好记录和解释工作。公示期间，集体经济组织成员对“三资”清查结果有异议的，村实施小组要认真组织复查复核，开展清查结果二次公示，直至群众认可。乡（镇）清产核资工作领导机构要设立监督电话，并在各村予以公布，接受群众举报和咨询。</w:t>
      </w:r>
    </w:p>
    <w:p>
      <w:pPr>
        <w:pStyle w:val="3"/>
        <w:spacing w:line="590" w:lineRule="exact"/>
        <w:ind w:firstLine="69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5.结果确认（9月1日-15日）。公示期满无异议或异议问题已予解决的，按照有关规定，召开村民会议或村民代表会议，对集体“三资”清理结果进行确认。</w:t>
      </w:r>
    </w:p>
    <w:p>
      <w:pPr>
        <w:pStyle w:val="3"/>
        <w:spacing w:line="590" w:lineRule="exact"/>
        <w:ind w:firstLine="624" w:firstLineChars="20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6.数据录入（9月16日-10月31日）。集体经济组织对确认的清理结果按规定调整账务，录入信息化管理平台。</w:t>
      </w:r>
    </w:p>
    <w:p>
      <w:pPr>
        <w:pStyle w:val="3"/>
        <w:spacing w:line="590" w:lineRule="exact"/>
        <w:ind w:firstLine="624" w:firstLineChars="20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（三）建章立制阶段（11月1日-30日）</w:t>
      </w:r>
    </w:p>
    <w:p>
      <w:pPr>
        <w:pStyle w:val="3"/>
        <w:spacing w:line="590" w:lineRule="exact"/>
        <w:ind w:firstLine="624" w:firstLineChars="20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整理归档。对清产核资过程中形成的各种文件、资料、影像等分门别类进行归档整理，留存备查。县级清产核资领导小组办公室和档案局要制定规范统一的目录和格式，指导乡、村做好归档整理工作。</w:t>
      </w:r>
    </w:p>
    <w:p>
      <w:pPr>
        <w:pStyle w:val="3"/>
        <w:spacing w:line="590" w:lineRule="exact"/>
        <w:ind w:firstLine="624" w:firstLineChars="20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完善台账。在明确农村集体经济组织资产权属的基础上，乡(镇)村级会计委托代理中心（“三资”委托代理服务中心）要依据县级批复的清产核资结果，将村(组)核查上报的“三资”数据、图片、合同等资料，建立台账，主要内容包括：资产资源的名称、类别、数量、计量单位、使用状况、所处位置、保管人等。实行承包、租赁经营的，还应当登记承包、租赁单位（人员）名称，承包、租赁期限，承包费或租赁金及收交情况等。村级应保存一套资产、资源台账和经济合同台账。</w:t>
      </w:r>
    </w:p>
    <w:p>
      <w:pPr>
        <w:pStyle w:val="3"/>
        <w:spacing w:line="590" w:lineRule="exact"/>
        <w:ind w:firstLine="63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kern w:val="0"/>
          <w:sz w:val="30"/>
          <w:szCs w:val="30"/>
        </w:rPr>
        <w:t>（四）检查验收阶段</w:t>
      </w:r>
      <w:r>
        <w:rPr>
          <w:rFonts w:hint="eastAsia" w:ascii="仿宋_GB2312" w:hAnsi="仿宋_GB2312" w:eastAsia="仿宋_GB2312" w:cs="仿宋_GB2312"/>
          <w:color w:val="000000"/>
          <w:spacing w:val="6"/>
          <w:sz w:val="30"/>
          <w:szCs w:val="30"/>
        </w:rPr>
        <w:t>（12月1日-31日）</w:t>
      </w:r>
    </w:p>
    <w:p>
      <w:pPr>
        <w:pStyle w:val="3"/>
        <w:spacing w:line="590" w:lineRule="exact"/>
        <w:ind w:firstLine="63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清产核资工作结束以后，乡镇、村（组）要进行全面总结。县级清产核资工作领导小组办公室要组织对各乡（镇）、村（组）清产核资工作检查验收，做好迎接省、市检查验收的准备工作。对清产核资不彻底、走过场问题突出的，责令限期整改；问题严重的，追究有关人员的责任。</w:t>
      </w:r>
    </w:p>
    <w:p>
      <w:pPr>
        <w:pStyle w:val="3"/>
        <w:spacing w:line="590" w:lineRule="exact"/>
        <w:ind w:firstLine="624" w:firstLineChars="200"/>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五）汇总上报数据阶段（2019年1月1日-3月31日）。乡（镇）对各村（组）报送的清产核资结果进行审查并确认无误后，将各村（组）《农村集体资产清产核资报表》录入电脑进行汇总，并编写乡（镇）清产核资报告，上报县级清产核资工作领导小组。县级清产核资领导小组办公室，对乡(镇)上报的清产核资结果进行审核批复，向市级上报清产核资结果数据。</w:t>
      </w:r>
    </w:p>
    <w:p>
      <w:pPr>
        <w:pStyle w:val="6"/>
        <w:spacing w:before="0" w:beforeAutospacing="0" w:after="0" w:afterAutospacing="0" w:line="590" w:lineRule="exact"/>
        <w:jc w:val="both"/>
        <w:rPr>
          <w:rFonts w:hint="eastAsia" w:ascii="仿宋_GB2312" w:hAnsi="仿宋_GB2312" w:eastAsia="仿宋_GB2312" w:cs="仿宋_GB2312"/>
          <w:bCs/>
          <w:color w:val="000000"/>
          <w:spacing w:val="6"/>
          <w:sz w:val="30"/>
          <w:szCs w:val="30"/>
        </w:rPr>
      </w:pPr>
      <w:r>
        <w:rPr>
          <w:rFonts w:hint="eastAsia" w:ascii="仿宋_GB2312" w:hAnsi="仿宋_GB2312" w:eastAsia="仿宋_GB2312" w:cs="仿宋_GB2312"/>
          <w:color w:val="000000"/>
          <w:spacing w:val="6"/>
          <w:sz w:val="30"/>
          <w:szCs w:val="30"/>
          <w:shd w:val="clear" w:color="auto" w:fill="FFFFFF"/>
        </w:rPr>
        <w:t>　</w:t>
      </w:r>
      <w:r>
        <w:rPr>
          <w:rFonts w:hint="eastAsia" w:ascii="仿宋_GB2312" w:hAnsi="仿宋_GB2312" w:eastAsia="仿宋_GB2312" w:cs="仿宋_GB2312"/>
          <w:bCs/>
          <w:color w:val="000000"/>
          <w:spacing w:val="6"/>
          <w:sz w:val="30"/>
          <w:szCs w:val="30"/>
          <w:shd w:val="clear" w:color="auto" w:fill="FFFFFF"/>
        </w:rPr>
        <w:t>　</w:t>
      </w:r>
      <w:r>
        <w:rPr>
          <w:rFonts w:hint="eastAsia" w:ascii="黑体" w:hAnsi="黑体" w:eastAsia="黑体" w:cs="黑体"/>
          <w:bCs/>
          <w:color w:val="000000"/>
          <w:spacing w:val="6"/>
          <w:kern w:val="2"/>
          <w:sz w:val="30"/>
          <w:szCs w:val="30"/>
        </w:rPr>
        <w:t>四、保障措施</w:t>
      </w:r>
    </w:p>
    <w:p>
      <w:pPr>
        <w:pStyle w:val="6"/>
        <w:spacing w:before="0" w:beforeAutospacing="0" w:after="0" w:afterAutospacing="0" w:line="590" w:lineRule="exact"/>
        <w:ind w:firstLine="624" w:firstLineChars="200"/>
        <w:jc w:val="both"/>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一）加强组织领导。清产核资工作是农村集体产权制度改革的重要组成部分，各县（市、区）要按照市委、市政府《关于农村集体产权制度改革的实施方案》要求，抓紧成立农村集体产权制度改革领导小组及其办公室，加强对农村集体资产清产核资工作的领导，抽调领导小组成员单位有关人员，成立农村集体资产清产核资工作领导小组，负责监督、指导、协调农村集体资产清产核资工作。</w:t>
      </w:r>
    </w:p>
    <w:p>
      <w:pPr>
        <w:pStyle w:val="6"/>
        <w:spacing w:before="0" w:beforeAutospacing="0" w:after="0" w:afterAutospacing="0" w:line="590" w:lineRule="exact"/>
        <w:ind w:firstLine="624" w:firstLineChars="200"/>
        <w:jc w:val="both"/>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二）明确责任主体。清产核资工作，涉及面广、政策性强、工作量大，县乡村各级党组织一把手要负总责。要把清产核资工作纳入2018年各级党委、政府工作重点，实行县级业务指导、乡镇组织实施、村级具体操作。各相关部门要按照各自的职责配合做好资产清查、资产评估、确权登记、产权界定、规范管理等工作。</w:t>
      </w:r>
    </w:p>
    <w:p>
      <w:pPr>
        <w:pStyle w:val="6"/>
        <w:spacing w:before="0" w:beforeAutospacing="0" w:after="0" w:afterAutospacing="0" w:line="590" w:lineRule="exact"/>
        <w:ind w:firstLine="624" w:firstLineChars="200"/>
        <w:jc w:val="both"/>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三）规范工作程序。要按照农村集体资产清产核资工作程序，规范操作。对清产核资工作中遇到的各类问题，要认真做好分析，加强分类指导，及时制定对策措施，统一政策界限，统一资产处置口径，形成清产核资的政策体系。</w:t>
      </w:r>
    </w:p>
    <w:p>
      <w:pPr>
        <w:pStyle w:val="6"/>
        <w:spacing w:before="0" w:beforeAutospacing="0" w:after="0" w:afterAutospacing="0" w:line="590" w:lineRule="exact"/>
        <w:ind w:firstLine="640"/>
        <w:jc w:val="both"/>
        <w:rPr>
          <w:rFonts w:hint="eastAsia" w:ascii="仿宋_GB2312" w:hAnsi="仿宋_GB2312" w:eastAsia="仿宋_GB2312" w:cs="仿宋_GB2312"/>
          <w:color w:val="000000"/>
          <w:spacing w:val="6"/>
          <w:sz w:val="30"/>
          <w:szCs w:val="30"/>
        </w:rPr>
      </w:pPr>
      <w:r>
        <w:rPr>
          <w:rFonts w:hint="eastAsia" w:ascii="仿宋_GB2312" w:hAnsi="仿宋_GB2312" w:eastAsia="仿宋_GB2312" w:cs="仿宋_GB2312"/>
          <w:color w:val="000000"/>
          <w:spacing w:val="6"/>
          <w:sz w:val="30"/>
          <w:szCs w:val="30"/>
        </w:rPr>
        <w:t>（四）加强督导检查。清产核资工作已纳入农村改革年度考核范围，市级将定期或不定期组织相关单位联合督查，建立月报表、季调度、年底评估总结制度，确保工作任务落实。县级清产核资工作领导小组办公室要定期督导各乡（镇）、村和相关部门加快进度、保证质量，并及时向市级报告清产核资进度，确保年底前完成清产核任务。</w:t>
      </w:r>
    </w:p>
    <w:p>
      <w:pPr>
        <w:spacing w:line="590" w:lineRule="exact"/>
        <w:rPr>
          <w:rFonts w:hint="eastAsia" w:ascii="仿宋_GB2312" w:hAnsi="仿宋_GB2312" w:eastAsia="仿宋_GB2312" w:cs="仿宋_GB2312"/>
          <w:color w:val="333333"/>
          <w:spacing w:val="6"/>
          <w:kern w:val="0"/>
          <w:sz w:val="30"/>
          <w:szCs w:val="30"/>
          <w:shd w:val="clear" w:color="auto" w:fill="FFFFFF"/>
        </w:rPr>
      </w:pPr>
    </w:p>
    <w:p>
      <w:pPr>
        <w:spacing w:line="590" w:lineRule="exact"/>
        <w:rPr>
          <w:rFonts w:hint="eastAsia" w:ascii="仿宋_GB2312" w:hAnsi="仿宋_GB2312" w:eastAsia="仿宋_GB2312" w:cs="仿宋_GB2312"/>
          <w:spacing w:val="6"/>
          <w:sz w:val="30"/>
          <w:szCs w:val="30"/>
        </w:rPr>
      </w:pPr>
    </w:p>
    <w:p>
      <w:pPr>
        <w:spacing w:line="590" w:lineRule="exact"/>
        <w:jc w:val="center"/>
        <w:rPr>
          <w:rFonts w:hint="eastAsia" w:ascii="仿宋_GB2312" w:hAnsi="仿宋_GB2312" w:eastAsia="仿宋_GB2312" w:cs="仿宋_GB2312"/>
          <w:snapToGrid w:val="0"/>
          <w:color w:val="000000"/>
          <w:spacing w:val="6"/>
          <w:kern w:val="0"/>
          <w:sz w:val="30"/>
          <w:szCs w:val="30"/>
        </w:rPr>
      </w:pPr>
    </w:p>
    <w:p>
      <w:pPr>
        <w:spacing w:line="590" w:lineRule="exact"/>
        <w:ind w:firstLine="624" w:firstLineChars="200"/>
        <w:rPr>
          <w:rFonts w:hint="eastAsia" w:ascii="仿宋_GB2312" w:hAnsi="仿宋_GB2312" w:eastAsia="仿宋_GB2312" w:cs="仿宋_GB2312"/>
          <w:snapToGrid w:val="0"/>
          <w:color w:val="000000"/>
          <w:spacing w:val="6"/>
          <w:kern w:val="0"/>
          <w:sz w:val="30"/>
          <w:szCs w:val="30"/>
        </w:rPr>
      </w:pPr>
    </w:p>
    <w:p>
      <w:pPr>
        <w:spacing w:line="590" w:lineRule="exact"/>
        <w:ind w:firstLine="624" w:firstLineChars="200"/>
        <w:rPr>
          <w:rFonts w:hint="eastAsia" w:ascii="仿宋_GB2312" w:hAnsi="仿宋_GB2312" w:eastAsia="仿宋_GB2312" w:cs="仿宋_GB2312"/>
          <w:snapToGrid w:val="0"/>
          <w:color w:val="000000"/>
          <w:spacing w:val="6"/>
          <w:kern w:val="0"/>
          <w:sz w:val="30"/>
          <w:szCs w:val="30"/>
        </w:rPr>
      </w:pPr>
    </w:p>
    <w:p>
      <w:pPr>
        <w:spacing w:line="590" w:lineRule="exact"/>
        <w:ind w:firstLine="624" w:firstLineChars="200"/>
        <w:rPr>
          <w:rFonts w:hint="eastAsia" w:ascii="仿宋_GB2312" w:hAnsi="仿宋_GB2312" w:eastAsia="仿宋_GB2312" w:cs="仿宋_GB2312"/>
          <w:snapToGrid w:val="0"/>
          <w:color w:val="000000"/>
          <w:spacing w:val="6"/>
          <w:kern w:val="0"/>
          <w:sz w:val="30"/>
          <w:szCs w:val="30"/>
        </w:rPr>
      </w:pPr>
    </w:p>
    <w:p>
      <w:pPr>
        <w:keepNext w:val="0"/>
        <w:keepLines w:val="0"/>
        <w:pageBreakBefore w:val="0"/>
        <w:widowControl w:val="0"/>
        <w:kinsoku/>
        <w:wordWrap/>
        <w:overflowPunct/>
        <w:topLinePunct w:val="0"/>
        <w:autoSpaceDE/>
        <w:autoSpaceDN/>
        <w:bidi w:val="0"/>
        <w:adjustRightInd/>
        <w:spacing w:line="620" w:lineRule="exact"/>
        <w:ind w:firstLine="880" w:firstLineChars="200"/>
        <w:jc w:val="center"/>
        <w:textAlignment w:val="auto"/>
        <w:outlineLvl w:val="9"/>
        <w:rPr>
          <w:rFonts w:hint="eastAsia" w:ascii="方正小标宋简体" w:hAnsi="方正小标宋简体" w:eastAsia="方正小标宋简体" w:cs="方正小标宋简体"/>
          <w:b w:val="0"/>
          <w:bCs w:val="0"/>
          <w:color w:val="000000"/>
          <w:sz w:val="44"/>
          <w:szCs w:val="44"/>
          <w:lang w:eastAsia="zh-CN"/>
        </w:rPr>
      </w:pPr>
    </w:p>
    <w:p>
      <w:pPr>
        <w:keepNext w:val="0"/>
        <w:keepLines w:val="0"/>
        <w:pageBreakBefore w:val="0"/>
        <w:widowControl w:val="0"/>
        <w:kinsoku/>
        <w:wordWrap/>
        <w:overflowPunct/>
        <w:topLinePunct w:val="0"/>
        <w:autoSpaceDE/>
        <w:autoSpaceDN/>
        <w:bidi w:val="0"/>
        <w:adjustRightInd/>
        <w:spacing w:line="620" w:lineRule="exact"/>
        <w:ind w:firstLine="880" w:firstLineChars="200"/>
        <w:jc w:val="center"/>
        <w:textAlignment w:val="auto"/>
        <w:outlineLvl w:val="9"/>
        <w:rPr>
          <w:rFonts w:hint="eastAsia" w:ascii="方正小标宋简体" w:hAnsi="方正小标宋简体" w:eastAsia="方正小标宋简体" w:cs="方正小标宋简体"/>
          <w:b w:val="0"/>
          <w:bCs w:val="0"/>
          <w:color w:val="000000"/>
          <w:sz w:val="44"/>
          <w:szCs w:val="44"/>
          <w:lang w:eastAsia="zh-CN"/>
        </w:rPr>
      </w:pPr>
    </w:p>
    <w:p>
      <w:pPr>
        <w:pStyle w:val="6"/>
        <w:widowControl/>
        <w:spacing w:beforeAutospacing="0" w:afterAutospacing="0" w:line="480" w:lineRule="atLeast"/>
        <w:ind w:firstLine="1285" w:firstLineChars="400"/>
        <w:rPr>
          <w:rFonts w:ascii="仿宋" w:hAnsi="仿宋" w:eastAsia="仿宋" w:cs="仿宋"/>
          <w:b/>
          <w:color w:val="000000"/>
          <w:sz w:val="32"/>
          <w:szCs w:val="32"/>
          <w:shd w:val="clear" w:color="auto" w:fill="FFFFFF"/>
        </w:rPr>
      </w:pPr>
    </w:p>
    <w:p>
      <w:pPr>
        <w:pStyle w:val="6"/>
        <w:widowControl/>
        <w:spacing w:beforeAutospacing="0" w:afterAutospacing="0" w:line="480" w:lineRule="atLeast"/>
        <w:ind w:firstLine="1285" w:firstLineChars="400"/>
        <w:rPr>
          <w:rFonts w:ascii="仿宋" w:hAnsi="仿宋" w:eastAsia="仿宋" w:cs="仿宋"/>
          <w:b/>
          <w:color w:val="000000"/>
          <w:sz w:val="32"/>
          <w:szCs w:val="32"/>
          <w:shd w:val="clear" w:color="auto" w:fill="FFFFFF"/>
        </w:rPr>
      </w:pPr>
    </w:p>
    <w:p>
      <w:pPr>
        <w:spacing w:line="1620" w:lineRule="exact"/>
        <w:jc w:val="center"/>
        <w:rPr>
          <w:rFonts w:hint="eastAsia" w:ascii="方正小标宋简体" w:hAnsi="宋体" w:eastAsia="方正小标宋简体" w:cs="Times New Roman"/>
          <w:b/>
          <w:bCs/>
          <w:color w:val="FF0000"/>
          <w:spacing w:val="23"/>
          <w:w w:val="46"/>
          <w:sz w:val="80"/>
          <w:szCs w:val="80"/>
          <w:lang w:eastAsia="zh-CN"/>
        </w:rPr>
      </w:pPr>
      <w:r>
        <w:rPr>
          <w:rFonts w:hint="eastAsia" w:ascii="方正小标宋简体" w:hAnsi="宋体" w:eastAsia="方正小标宋简体" w:cs="Times New Roman"/>
          <w:b/>
          <w:bCs/>
          <w:color w:val="FF0000"/>
          <w:spacing w:val="23"/>
          <w:w w:val="46"/>
          <w:sz w:val="80"/>
          <w:szCs w:val="80"/>
          <w:lang w:eastAsia="zh-CN"/>
        </w:rPr>
        <w:t>馆陶县农村集体产权制度改革领导小组文件</w:t>
      </w:r>
    </w:p>
    <w:p>
      <w:pPr>
        <w:spacing w:line="560" w:lineRule="exact"/>
        <w:jc w:val="center"/>
        <w:rPr>
          <w:rFonts w:hint="eastAsia" w:ascii="创艺简粗黑" w:hAnsi="创艺简粗黑" w:eastAsia="创艺简粗黑" w:cs="创艺简粗黑"/>
          <w:b/>
          <w:bCs/>
          <w:color w:val="FF0000"/>
          <w:w w:val="80"/>
          <w:kern w:val="16"/>
          <w:sz w:val="56"/>
          <w:szCs w:val="56"/>
        </w:rPr>
      </w:pPr>
    </w:p>
    <w:p>
      <w:pPr>
        <w:spacing w:line="560" w:lineRule="exact"/>
        <w:jc w:val="center"/>
        <w:rPr>
          <w:rFonts w:hint="eastAsia" w:ascii="方正小标宋简体" w:hAnsi="方正小标宋简体" w:eastAsia="方正小标宋简体" w:cs="方正小标宋简体"/>
          <w:b/>
          <w:bCs/>
          <w:w w:val="108"/>
          <w:sz w:val="60"/>
          <w:szCs w:val="60"/>
        </w:rPr>
      </w:pPr>
    </w:p>
    <w:p>
      <w:pPr>
        <w:spacing w:line="560" w:lineRule="exact"/>
        <w:jc w:val="center"/>
        <w:rPr>
          <w:rFonts w:hint="eastAsia" w:ascii="方正小标宋简体" w:hAnsi="方正小标宋简体" w:eastAsia="方正小标宋简体" w:cs="方正小标宋简体"/>
          <w:b/>
          <w:bCs/>
          <w:w w:val="108"/>
          <w:sz w:val="44"/>
          <w:szCs w:val="44"/>
        </w:rPr>
      </w:pPr>
    </w:p>
    <w:p>
      <w:pPr>
        <w:spacing w:line="560" w:lineRule="exact"/>
        <w:jc w:val="center"/>
        <w:rPr>
          <w:rFonts w:hint="eastAsia" w:ascii="仿宋_GB2312" w:hAnsi="仿宋_GB2312" w:eastAsia="仿宋_GB2312" w:cs="仿宋_GB2312"/>
          <w:b/>
          <w:bCs/>
          <w:i w:val="0"/>
          <w:iCs w:val="0"/>
          <w:sz w:val="32"/>
          <w:szCs w:val="32"/>
          <w:u w:val="none"/>
        </w:rPr>
      </w:pPr>
      <w:r>
        <w:rPr>
          <w:rFonts w:hint="eastAsia" w:ascii="仿宋_GB2312" w:hAnsi="仿宋_GB2312" w:eastAsia="仿宋_GB2312" w:cs="仿宋_GB2312"/>
          <w:b/>
          <w:bCs/>
          <w:i w:val="0"/>
          <w:iCs w:val="0"/>
          <w:sz w:val="32"/>
          <w:szCs w:val="32"/>
          <w:u w:val="none"/>
        </w:rPr>
        <w:t>馆农改〔201</w:t>
      </w:r>
      <w:r>
        <w:rPr>
          <w:rFonts w:hint="eastAsia" w:ascii="仿宋_GB2312" w:hAnsi="仿宋_GB2312" w:eastAsia="仿宋_GB2312" w:cs="仿宋_GB2312"/>
          <w:b/>
          <w:bCs/>
          <w:i w:val="0"/>
          <w:iCs w:val="0"/>
          <w:sz w:val="32"/>
          <w:szCs w:val="32"/>
          <w:u w:val="none"/>
          <w:lang w:val="en-US" w:eastAsia="zh-CN"/>
        </w:rPr>
        <w:t>7</w:t>
      </w:r>
      <w:r>
        <w:rPr>
          <w:rFonts w:hint="eastAsia" w:ascii="仿宋_GB2312" w:hAnsi="仿宋_GB2312" w:eastAsia="仿宋_GB2312" w:cs="仿宋_GB2312"/>
          <w:b/>
          <w:bCs/>
          <w:i w:val="0"/>
          <w:iCs w:val="0"/>
          <w:sz w:val="32"/>
          <w:szCs w:val="32"/>
          <w:u w:val="none"/>
        </w:rPr>
        <w:t>〕</w:t>
      </w:r>
      <w:r>
        <w:rPr>
          <w:rFonts w:hint="eastAsia" w:ascii="仿宋_GB2312" w:hAnsi="仿宋_GB2312" w:eastAsia="仿宋_GB2312" w:cs="仿宋_GB2312"/>
          <w:b/>
          <w:bCs/>
          <w:i w:val="0"/>
          <w:iCs w:val="0"/>
          <w:sz w:val="32"/>
          <w:szCs w:val="32"/>
          <w:u w:val="none"/>
          <w:lang w:val="en-US" w:eastAsia="zh-CN"/>
        </w:rPr>
        <w:t>4</w:t>
      </w:r>
      <w:r>
        <w:rPr>
          <w:rFonts w:hint="eastAsia" w:ascii="仿宋_GB2312" w:hAnsi="仿宋_GB2312" w:eastAsia="仿宋_GB2312" w:cs="仿宋_GB2312"/>
          <w:b/>
          <w:bCs/>
          <w:i w:val="0"/>
          <w:iCs w:val="0"/>
          <w:sz w:val="32"/>
          <w:szCs w:val="32"/>
          <w:u w:val="none"/>
        </w:rPr>
        <w:t>号</w:t>
      </w:r>
    </w:p>
    <w:p>
      <w:pPr>
        <w:spacing w:line="560" w:lineRule="exact"/>
        <w:jc w:val="center"/>
        <w:rPr>
          <w:rFonts w:hint="eastAsia" w:ascii="方正小标宋简体" w:hAnsi="方正小标宋简体" w:eastAsia="方正小标宋简体" w:cs="方正小标宋简体"/>
          <w:bCs/>
          <w:w w:val="108"/>
          <w:sz w:val="44"/>
          <w:szCs w:val="44"/>
          <w:lang w:eastAsia="zh-CN"/>
        </w:rPr>
      </w:pPr>
      <w:r>
        <w:rPr>
          <w:rFonts w:hint="eastAsia" w:ascii="方正小标宋简体" w:hAnsi="方正小标宋简体" w:eastAsia="方正小标宋简体" w:cs="方正小标宋简体"/>
          <w:bCs/>
          <w:w w:val="108"/>
          <w:sz w:val="44"/>
          <w:szCs w:val="44"/>
          <w:lang w:eastAsia="zh-CN"/>
        </w:rPr>
        <w:t>—————————————————</w:t>
      </w:r>
    </w:p>
    <w:p>
      <w:pPr>
        <w:pStyle w:val="6"/>
        <w:widowControl/>
        <w:spacing w:beforeAutospacing="0" w:afterAutospacing="0" w:line="480" w:lineRule="atLeast"/>
        <w:ind w:firstLine="1325" w:firstLineChars="300"/>
        <w:jc w:val="both"/>
        <w:rPr>
          <w:rFonts w:asciiTheme="majorEastAsia" w:hAnsiTheme="majorEastAsia" w:eastAsiaTheme="majorEastAsia" w:cstheme="majorEastAsia"/>
          <w:b/>
          <w:color w:val="000000"/>
          <w:sz w:val="44"/>
          <w:szCs w:val="44"/>
          <w:shd w:val="clear" w:color="auto" w:fill="FFFFFF"/>
        </w:rPr>
      </w:pPr>
    </w:p>
    <w:p>
      <w:pPr>
        <w:spacing w:line="600" w:lineRule="exact"/>
        <w:jc w:val="center"/>
        <w:rPr>
          <w:rFonts w:ascii="方正小标宋简体" w:hAnsi="新宋体" w:eastAsia="方正小标宋简体"/>
          <w:b/>
          <w:sz w:val="44"/>
          <w:szCs w:val="44"/>
        </w:rPr>
      </w:pPr>
      <w:r>
        <w:rPr>
          <w:rFonts w:hint="eastAsia" w:ascii="方正小标宋简体" w:hAnsi="新宋体" w:eastAsia="方正小标宋简体"/>
          <w:b/>
          <w:sz w:val="44"/>
          <w:szCs w:val="44"/>
        </w:rPr>
        <w:t>馆陶县农村集体产权制度改革领导小组</w:t>
      </w:r>
    </w:p>
    <w:p>
      <w:pPr>
        <w:spacing w:line="560" w:lineRule="exact"/>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rPr>
        <w:t>关于</w:t>
      </w:r>
      <w:r>
        <w:rPr>
          <w:rFonts w:hint="eastAsia" w:ascii="方正小标宋简体" w:hAnsi="方正小标宋简体" w:eastAsia="方正小标宋简体" w:cs="方正小标宋简体"/>
          <w:b/>
          <w:bCs/>
          <w:sz w:val="44"/>
          <w:szCs w:val="44"/>
          <w:lang w:eastAsia="zh-CN"/>
        </w:rPr>
        <w:t>印发《</w:t>
      </w:r>
      <w:r>
        <w:rPr>
          <w:rFonts w:hint="eastAsia" w:ascii="方正小标宋简体" w:hAnsi="方正小标宋简体" w:eastAsia="方正小标宋简体" w:cs="方正小标宋简体"/>
          <w:b/>
          <w:bCs/>
          <w:sz w:val="44"/>
          <w:szCs w:val="44"/>
        </w:rPr>
        <w:t>农村集体</w:t>
      </w:r>
      <w:r>
        <w:rPr>
          <w:rFonts w:hint="eastAsia" w:ascii="方正小标宋简体" w:hAnsi="方正小标宋简体" w:eastAsia="方正小标宋简体" w:cs="方正小标宋简体"/>
          <w:b/>
          <w:bCs/>
          <w:sz w:val="44"/>
          <w:szCs w:val="44"/>
          <w:lang w:eastAsia="zh-CN"/>
        </w:rPr>
        <w:t>资产清产核资工作</w:t>
      </w:r>
    </w:p>
    <w:p>
      <w:pPr>
        <w:spacing w:line="560" w:lineRule="exact"/>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实施方案》的通知</w:t>
      </w:r>
    </w:p>
    <w:p>
      <w:pPr>
        <w:spacing w:line="600" w:lineRule="exact"/>
        <w:ind w:firstLine="2891" w:firstLineChars="900"/>
        <w:rPr>
          <w:rFonts w:hint="eastAsia" w:ascii="方正楷体简体" w:hAnsi="方正楷体简体" w:eastAsia="方正楷体简体" w:cs="方正楷体简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各乡镇党委，县直各部门，县直各单位党委（党组）、党支、支部，经济开发区党工委：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为深化农村集体产权制度改革，</w:t>
      </w:r>
      <w:r>
        <w:rPr>
          <w:rFonts w:hint="eastAsia" w:ascii="楷体_GB2312" w:hAnsi="楷体_GB2312" w:eastAsia="楷体_GB2312" w:cs="楷体_GB2312"/>
          <w:sz w:val="32"/>
          <w:szCs w:val="32"/>
          <w:lang w:eastAsia="zh-CN"/>
        </w:rPr>
        <w:t>彻底摸清农村集体家底，</w:t>
      </w:r>
      <w:r>
        <w:rPr>
          <w:rFonts w:hint="eastAsia" w:ascii="楷体_GB2312" w:hAnsi="楷体_GB2312" w:eastAsia="楷体_GB2312" w:cs="楷体_GB2312"/>
          <w:sz w:val="32"/>
          <w:szCs w:val="32"/>
        </w:rPr>
        <w:t>明晰农村集体产权归属</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赋予农民更加充分的财产权利</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现将《农村集体</w:t>
      </w:r>
      <w:r>
        <w:rPr>
          <w:rFonts w:hint="eastAsia" w:ascii="楷体_GB2312" w:hAnsi="楷体_GB2312" w:eastAsia="楷体_GB2312" w:cs="楷体_GB2312"/>
          <w:sz w:val="32"/>
          <w:szCs w:val="32"/>
          <w:lang w:eastAsia="zh-CN"/>
        </w:rPr>
        <w:t>资产</w:t>
      </w:r>
      <w:r>
        <w:rPr>
          <w:rFonts w:hint="eastAsia" w:ascii="楷体_GB2312" w:hAnsi="楷体_GB2312" w:eastAsia="楷体_GB2312" w:cs="楷体_GB2312"/>
          <w:sz w:val="32"/>
          <w:szCs w:val="32"/>
          <w:lang w:val="en-US" w:eastAsia="zh-CN"/>
        </w:rPr>
        <w:t>清产核工作实施</w:t>
      </w:r>
      <w:r>
        <w:rPr>
          <w:rFonts w:hint="eastAsia" w:ascii="楷体_GB2312" w:hAnsi="楷体_GB2312" w:eastAsia="楷体_GB2312" w:cs="楷体_GB2312"/>
          <w:sz w:val="32"/>
          <w:szCs w:val="32"/>
          <w:lang w:eastAsia="zh-CN"/>
        </w:rPr>
        <w:t>方案</w:t>
      </w:r>
      <w:r>
        <w:rPr>
          <w:rFonts w:hint="eastAsia" w:ascii="楷体_GB2312" w:hAnsi="楷体_GB2312" w:eastAsia="楷体_GB2312" w:cs="楷体_GB2312"/>
          <w:sz w:val="32"/>
          <w:szCs w:val="32"/>
        </w:rPr>
        <w:t>》印发给你们，请按照</w:t>
      </w:r>
      <w:r>
        <w:rPr>
          <w:rFonts w:hint="eastAsia" w:ascii="楷体_GB2312" w:hAnsi="楷体_GB2312" w:eastAsia="楷体_GB2312" w:cs="楷体_GB2312"/>
          <w:sz w:val="32"/>
          <w:szCs w:val="32"/>
          <w:lang w:eastAsia="zh-CN"/>
        </w:rPr>
        <w:t>要求</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认真贯彻落实</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楷体_GB2312" w:hAnsi="楷体_GB2312" w:eastAsia="楷体_GB2312" w:cs="楷体_GB2312"/>
          <w:sz w:val="32"/>
        </w:rPr>
      </w:pPr>
      <w:r>
        <w:rPr>
          <w:rFonts w:hint="eastAsia" w:ascii="楷体_GB2312" w:hAnsi="楷体_GB2312" w:eastAsia="楷体_GB2312" w:cs="楷体_GB2312"/>
          <w:sz w:val="32"/>
        </w:rPr>
        <w:t>馆陶县农村集体产权制度改革领导小组办公室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_GB2312" w:hAnsi="楷体_GB2312" w:eastAsia="楷体_GB2312" w:cs="楷体_GB2312"/>
          <w:sz w:val="32"/>
        </w:rPr>
      </w:pPr>
      <w:r>
        <w:rPr>
          <w:rFonts w:hint="eastAsia" w:ascii="楷体_GB2312" w:hAnsi="楷体_GB2312" w:eastAsia="楷体_GB2312" w:cs="楷体_GB2312"/>
          <w:sz w:val="32"/>
        </w:rPr>
        <w:t xml:space="preserve">                                201</w:t>
      </w:r>
      <w:r>
        <w:rPr>
          <w:rFonts w:hint="eastAsia" w:ascii="楷体_GB2312" w:hAnsi="楷体_GB2312" w:eastAsia="楷体_GB2312" w:cs="楷体_GB2312"/>
          <w:sz w:val="32"/>
          <w:lang w:val="en-US" w:eastAsia="zh-CN"/>
        </w:rPr>
        <w:t>7</w:t>
      </w:r>
      <w:r>
        <w:rPr>
          <w:rFonts w:hint="eastAsia" w:ascii="楷体_GB2312" w:hAnsi="楷体_GB2312" w:eastAsia="楷体_GB2312" w:cs="楷体_GB2312"/>
          <w:sz w:val="32"/>
        </w:rPr>
        <w:t>年</w:t>
      </w:r>
      <w:r>
        <w:rPr>
          <w:rFonts w:hint="eastAsia" w:ascii="楷体_GB2312" w:hAnsi="楷体_GB2312" w:eastAsia="楷体_GB2312" w:cs="楷体_GB2312"/>
          <w:sz w:val="32"/>
          <w:lang w:val="en-US" w:eastAsia="zh-CN"/>
        </w:rPr>
        <w:t>1</w:t>
      </w:r>
      <w:r>
        <w:rPr>
          <w:rFonts w:hint="eastAsia" w:ascii="楷体_GB2312" w:hAnsi="楷体_GB2312" w:eastAsia="楷体_GB2312" w:cs="楷体_GB2312"/>
          <w:sz w:val="32"/>
        </w:rPr>
        <w:t>1月</w:t>
      </w:r>
      <w:r>
        <w:rPr>
          <w:rFonts w:hint="eastAsia" w:ascii="楷体_GB2312" w:hAnsi="楷体_GB2312" w:eastAsia="楷体_GB2312" w:cs="楷体_GB2312"/>
          <w:sz w:val="32"/>
          <w:lang w:val="en-US" w:eastAsia="zh-CN"/>
        </w:rPr>
        <w:t>9</w:t>
      </w:r>
      <w:r>
        <w:rPr>
          <w:rFonts w:hint="eastAsia" w:ascii="楷体_GB2312" w:hAnsi="楷体_GB2312" w:eastAsia="楷体_GB2312" w:cs="楷体_GB2312"/>
          <w:sz w:val="32"/>
        </w:rPr>
        <w:t>日</w:t>
      </w:r>
    </w:p>
    <w:p>
      <w:pPr>
        <w:pStyle w:val="6"/>
        <w:widowControl/>
        <w:spacing w:beforeAutospacing="0" w:afterAutospacing="0" w:line="600" w:lineRule="exact"/>
        <w:jc w:val="center"/>
        <w:rPr>
          <w:rFonts w:hint="eastAsia" w:ascii="方正小标宋简体" w:eastAsia="方正小标宋简体" w:hAnsiTheme="majorEastAsia" w:cstheme="majorEastAsia"/>
          <w:b/>
          <w:color w:val="000000"/>
          <w:sz w:val="44"/>
          <w:szCs w:val="44"/>
          <w:shd w:val="clear" w:color="auto" w:fill="FFFFFF"/>
          <w:lang w:val="en-US" w:eastAsia="zh-CN"/>
        </w:rPr>
      </w:pPr>
      <w:r>
        <w:rPr>
          <w:rFonts w:hint="eastAsia" w:ascii="方正小标宋简体" w:eastAsia="方正小标宋简体" w:hAnsiTheme="majorEastAsia" w:cstheme="majorEastAsia"/>
          <w:b/>
          <w:color w:val="000000"/>
          <w:sz w:val="44"/>
          <w:szCs w:val="44"/>
          <w:shd w:val="clear" w:color="auto" w:fill="FFFFFF"/>
          <w:lang w:val="en-US" w:eastAsia="zh-CN"/>
        </w:rPr>
        <w:t xml:space="preserve"> </w:t>
      </w:r>
    </w:p>
    <w:p>
      <w:pPr>
        <w:pStyle w:val="6"/>
        <w:widowControl/>
        <w:spacing w:beforeAutospacing="0" w:afterAutospacing="0" w:line="600" w:lineRule="exact"/>
        <w:jc w:val="center"/>
        <w:rPr>
          <w:rFonts w:hint="eastAsia" w:ascii="方正小标宋简体" w:eastAsia="方正小标宋简体" w:hAnsiTheme="majorEastAsia" w:cstheme="majorEastAsia"/>
          <w:b/>
          <w:color w:val="000000"/>
          <w:sz w:val="44"/>
          <w:szCs w:val="44"/>
          <w:shd w:val="clear" w:color="auto" w:fill="FFFFFF"/>
          <w:lang w:eastAsia="zh-CN"/>
        </w:rPr>
      </w:pPr>
      <w:r>
        <w:rPr>
          <w:rFonts w:hint="eastAsia" w:ascii="方正小标宋简体" w:eastAsia="方正小标宋简体" w:hAnsiTheme="majorEastAsia" w:cstheme="majorEastAsia"/>
          <w:b/>
          <w:color w:val="000000"/>
          <w:sz w:val="44"/>
          <w:szCs w:val="44"/>
          <w:shd w:val="clear" w:color="auto" w:fill="FFFFFF"/>
        </w:rPr>
        <w:t>农村集体资产清产核资工作</w:t>
      </w:r>
      <w:r>
        <w:rPr>
          <w:rFonts w:hint="eastAsia" w:ascii="方正小标宋简体" w:eastAsia="方正小标宋简体" w:hAnsiTheme="majorEastAsia" w:cstheme="majorEastAsia"/>
          <w:b/>
          <w:color w:val="000000"/>
          <w:sz w:val="44"/>
          <w:szCs w:val="44"/>
          <w:shd w:val="clear" w:color="auto" w:fill="FFFFFF"/>
          <w:lang w:eastAsia="zh-CN"/>
        </w:rPr>
        <w:t>的</w:t>
      </w:r>
    </w:p>
    <w:p>
      <w:pPr>
        <w:pStyle w:val="6"/>
        <w:widowControl/>
        <w:spacing w:beforeAutospacing="0" w:afterAutospacing="0" w:line="600" w:lineRule="exact"/>
        <w:jc w:val="center"/>
        <w:rPr>
          <w:rFonts w:ascii="方正小标宋简体" w:eastAsia="方正小标宋简体" w:hAnsiTheme="majorEastAsia" w:cstheme="majorEastAsia"/>
          <w:b/>
          <w:color w:val="000000"/>
          <w:sz w:val="44"/>
          <w:szCs w:val="44"/>
          <w:shd w:val="clear" w:color="auto" w:fill="FFFFFF"/>
        </w:rPr>
      </w:pPr>
      <w:r>
        <w:rPr>
          <w:rFonts w:hint="eastAsia" w:ascii="方正小标宋简体" w:eastAsia="方正小标宋简体" w:hAnsiTheme="majorEastAsia" w:cstheme="majorEastAsia"/>
          <w:b/>
          <w:color w:val="000000"/>
          <w:sz w:val="44"/>
          <w:szCs w:val="44"/>
          <w:shd w:val="clear" w:color="auto" w:fill="FFFFFF"/>
        </w:rPr>
        <w:t>实施方案</w:t>
      </w:r>
    </w:p>
    <w:p>
      <w:pPr>
        <w:pStyle w:val="6"/>
        <w:widowControl/>
        <w:spacing w:beforeAutospacing="0" w:afterAutospacing="0" w:line="480" w:lineRule="atLeast"/>
        <w:rPr>
          <w:rFonts w:ascii="仿宋" w:hAnsi="仿宋" w:eastAsia="仿宋" w:cs="仿宋"/>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left="10" w:right="93" w:hanging="10"/>
        <w:jc w:val="left"/>
        <w:textAlignment w:val="auto"/>
        <w:outlineLvl w:val="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为</w:t>
      </w:r>
      <w:r>
        <w:rPr>
          <w:rFonts w:hint="eastAsia" w:ascii="仿宋_GB2312" w:hAnsi="仿宋_GB2312" w:eastAsia="仿宋_GB2312" w:cs="仿宋_GB2312"/>
          <w:color w:val="333333"/>
          <w:sz w:val="32"/>
          <w:szCs w:val="32"/>
          <w:shd w:val="clear" w:color="auto" w:fill="FFFFFF"/>
          <w:lang w:eastAsia="zh-CN"/>
        </w:rPr>
        <w:t>扎实</w:t>
      </w:r>
      <w:r>
        <w:rPr>
          <w:rFonts w:hint="eastAsia" w:ascii="仿宋_GB2312" w:hAnsi="仿宋_GB2312" w:eastAsia="仿宋_GB2312" w:cs="仿宋_GB2312"/>
          <w:color w:val="333333"/>
          <w:sz w:val="32"/>
          <w:szCs w:val="32"/>
          <w:shd w:val="clear" w:color="auto" w:fill="FFFFFF"/>
        </w:rPr>
        <w:t>做好农村集体产权制度改革工作，全面清查核实</w:t>
      </w:r>
      <w:r>
        <w:rPr>
          <w:rFonts w:hint="eastAsia" w:ascii="仿宋_GB2312" w:hAnsi="仿宋_GB2312" w:eastAsia="仿宋_GB2312" w:cs="仿宋_GB2312"/>
          <w:color w:val="333333"/>
          <w:sz w:val="32"/>
          <w:szCs w:val="32"/>
          <w:shd w:val="clear" w:color="auto" w:fill="FFFFFF"/>
          <w:lang w:eastAsia="zh-CN"/>
        </w:rPr>
        <w:t>农村</w:t>
      </w:r>
      <w:r>
        <w:rPr>
          <w:rFonts w:hint="eastAsia" w:ascii="仿宋_GB2312" w:hAnsi="仿宋_GB2312" w:eastAsia="仿宋_GB2312" w:cs="仿宋_GB2312"/>
          <w:color w:val="333333"/>
          <w:sz w:val="32"/>
          <w:szCs w:val="32"/>
          <w:shd w:val="clear" w:color="auto" w:fill="FFFFFF"/>
        </w:rPr>
        <w:t>集体所有的资金、资产和资源</w:t>
      </w:r>
      <w:r>
        <w:rPr>
          <w:rFonts w:hint="eastAsia" w:ascii="仿宋_GB2312" w:hAnsi="仿宋_GB2312" w:eastAsia="仿宋_GB2312" w:cs="仿宋_GB2312"/>
          <w:color w:val="333333"/>
          <w:sz w:val="32"/>
          <w:szCs w:val="32"/>
          <w:shd w:val="clear" w:color="auto" w:fill="FFFFFF"/>
          <w:lang w:eastAsia="zh-CN"/>
        </w:rPr>
        <w:t>状况</w:t>
      </w:r>
      <w:r>
        <w:rPr>
          <w:rFonts w:hint="eastAsia" w:ascii="仿宋_GB2312" w:hAnsi="仿宋_GB2312" w:eastAsia="仿宋_GB2312" w:cs="仿宋_GB2312"/>
          <w:color w:val="333333"/>
          <w:sz w:val="32"/>
          <w:szCs w:val="32"/>
          <w:shd w:val="clear" w:color="auto" w:fill="FFFFFF"/>
        </w:rPr>
        <w:t>，按照河北省委省政府《关于稳步推进农村集体产权制度改革的实施意见》有关要求，</w:t>
      </w:r>
      <w:r>
        <w:rPr>
          <w:rFonts w:hint="eastAsia" w:ascii="仿宋_GB2312" w:hAnsi="仿宋_GB2312" w:eastAsia="仿宋_GB2312" w:cs="仿宋_GB2312"/>
          <w:color w:val="333333"/>
          <w:sz w:val="32"/>
          <w:szCs w:val="32"/>
          <w:shd w:val="clear" w:color="auto" w:fill="FFFFFF"/>
          <w:lang w:eastAsia="zh-CN"/>
        </w:rPr>
        <w:t>结合我县实际，</w:t>
      </w:r>
      <w:r>
        <w:rPr>
          <w:rFonts w:hint="eastAsia" w:ascii="仿宋_GB2312" w:hAnsi="仿宋_GB2312" w:eastAsia="仿宋_GB2312" w:cs="仿宋_GB2312"/>
          <w:color w:val="333333"/>
          <w:sz w:val="32"/>
          <w:szCs w:val="32"/>
          <w:shd w:val="clear" w:color="auto" w:fill="FFFFFF"/>
        </w:rPr>
        <w:t>制定如下实施方案。</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outlineLvl w:val="9"/>
        <w:rPr>
          <w:rFonts w:ascii="仿宋_GB2312" w:hAnsi="仿宋_GB2312" w:eastAsia="仿宋_GB2312" w:cs="仿宋_GB2312"/>
          <w:b/>
          <w:sz w:val="32"/>
          <w:szCs w:val="32"/>
        </w:rPr>
      </w:pPr>
      <w:r>
        <w:rPr>
          <w:rFonts w:hint="eastAsia" w:ascii="黑体" w:hAnsi="黑体" w:eastAsia="黑体" w:cs="黑体"/>
          <w:b/>
          <w:color w:val="333333"/>
          <w:sz w:val="32"/>
          <w:szCs w:val="32"/>
          <w:shd w:val="clear" w:color="auto" w:fill="FFFFFF"/>
        </w:rPr>
        <w:t>一、总体要求</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清产核资的总体要求是：全面清查核实集体所有资金、资产和资源的存量、结构、分布等情况，依法界定集体资产权属，为实施农村集体产权制度改革奠定基础。</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outlineLvl w:val="9"/>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lang w:eastAsia="zh-CN"/>
        </w:rPr>
        <w:t>（一）</w:t>
      </w:r>
      <w:r>
        <w:rPr>
          <w:rFonts w:hint="eastAsia" w:ascii="楷体_GB2312" w:hAnsi="楷体_GB2312" w:eastAsia="楷体_GB2312" w:cs="楷体_GB2312"/>
          <w:b/>
          <w:bCs/>
          <w:color w:val="333333"/>
          <w:sz w:val="32"/>
          <w:szCs w:val="32"/>
          <w:shd w:val="clear" w:color="auto" w:fill="FFFFFF"/>
        </w:rPr>
        <w:t>对象范围</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清产核资工作对象是：乡（镇）、村、组集体经济组织，包括未建立乡（镇）、村、组集体经济组织以及乡（镇）村、组集体经济组织不健全，代行其集体资产管理职能的乡（镇）政府、村民委员会、村民小组或其他单位等。清产核资工作范围包括：农民集体所有的土地、荒地、滩涂等资源性资产；用于经营的房屋、建筑物、机器设备、工具器具、农业基础设施、集体投资兴办的企业及其所持有的其他经济组织的资产份额、无形资产等经营性资产；用于公共服务的教育、科技、文化、卫生、体育等方面的非经营性资产。重点清查核实未承包到户的资源性资产和集体统一经营的经营性资产以及现金、债权债务等。</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ascii="楷体_GB2312" w:hAnsi="楷体_GB2312" w:eastAsia="楷体_GB2312" w:cs="楷体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楷体_GB2312" w:hAnsi="楷体_GB2312" w:eastAsia="楷体_GB2312" w:cs="楷体_GB2312"/>
          <w:b/>
          <w:bCs/>
          <w:color w:val="333333"/>
          <w:sz w:val="32"/>
          <w:szCs w:val="32"/>
          <w:shd w:val="clear" w:color="auto" w:fill="FFFFFF"/>
        </w:rPr>
        <w:t>（二）基本原则</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1.坚持依法依规与民主决策相结合。依照国家、省、市加强农村集体资产管理的有关规定，对清产核资工作实行民主决策，保障农民群众的决策权和监督权。</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2.坚持程序规范与全程公开相结合。按照上级统一部署要求，制定符合本村实际情况的清产核资工作方案；对清产核资人员组成、清产核资方法、资产界定和估值情况、报废资产和呆坏账处置情况、清产核资报告（结果）等过程全部公开，保障农民群众的知情权。</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3.坚持专业清查与群众参与相结合。确需聘用有资质的专业机构进行清产核资的村集体经济组织，要吸收老党员、老干部、村民代表等了解村情的人员共同参与清产核资各阶段的工作，保障农民群众的参与权。</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4.坚持账内清查与账外核实相结合。对固定资产要以账面数为基础，账内账外相结合，逐笔逐项清查核实；对资源性资产，以村保存的历史资料为基础，采取实地查看与重新测量相结合的办法进行清查核实。做到数额无误、产权明确、现状清楚、群众认可，确保清产核资结果真实准确。</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b/>
          <w:bCs/>
          <w:color w:val="333333"/>
          <w:sz w:val="32"/>
          <w:szCs w:val="32"/>
          <w:shd w:val="clear" w:color="auto" w:fill="FFFFFF"/>
        </w:rPr>
        <w:t>二、程序和方法</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right="14" w:firstLine="643" w:firstLineChars="200"/>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明确基本程序</w:t>
      </w:r>
    </w:p>
    <w:p>
      <w:pPr>
        <w:keepNext w:val="0"/>
        <w:keepLines w:val="0"/>
        <w:pageBreakBefore w:val="0"/>
        <w:widowControl w:val="0"/>
        <w:kinsoku/>
        <w:wordWrap/>
        <w:overflowPunct/>
        <w:topLinePunct w:val="0"/>
        <w:autoSpaceDE/>
        <w:autoSpaceDN/>
        <w:bidi w:val="0"/>
        <w:adjustRightInd/>
        <w:snapToGrid/>
        <w:spacing w:line="600" w:lineRule="exact"/>
        <w:ind w:right="14"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清产核资一般以村为单位开展，属于村民小组农民集体所有的以村民小组为单位开展，不能打破原集体所有界限。清产核资工作一般遵循组建工作机构、制定工作方案、清理核实资产、进行权属界定、开展价值评估、公开公示结果、核销调整账务、归档整理造册、审核上报备案、建立健全台账等基本程序。</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right="14" w:firstLine="643" w:firstLineChars="200"/>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组建工作机构</w:t>
      </w:r>
    </w:p>
    <w:p>
      <w:pPr>
        <w:keepNext w:val="0"/>
        <w:keepLines w:val="0"/>
        <w:pageBreakBefore w:val="0"/>
        <w:widowControl w:val="0"/>
        <w:kinsoku/>
        <w:wordWrap/>
        <w:overflowPunct/>
        <w:topLinePunct w:val="0"/>
        <w:autoSpaceDE/>
        <w:autoSpaceDN/>
        <w:bidi w:val="0"/>
        <w:adjustRightInd/>
        <w:snapToGrid/>
        <w:spacing w:line="600" w:lineRule="exact"/>
        <w:ind w:right="14"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般以村为单位组建清产核资工作小组，吸收村干部、党员代表、村务监督委员会成员、集体经济组织成员代表、财会人员等参加，负责组织实施资产清查、实物盘点、价值评估等相应工作。对集体资产存量较大的村、组，农民群众有要求且确有必要的，经集体经济组织成员大会或代表大会决议，可以委托有资质的中介机构进行资产评估。</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right="14" w:firstLine="643" w:firstLineChars="200"/>
        <w:textAlignment w:val="auto"/>
        <w:outlineLvl w:val="9"/>
        <w:rPr>
          <w:rFonts w:ascii="楷体_GB2312" w:hAnsi="楷体" w:eastAsia="楷体_GB2312" w:cs="楷体"/>
          <w:b/>
          <w:bCs/>
          <w:sz w:val="32"/>
          <w:szCs w:val="32"/>
        </w:rPr>
      </w:pPr>
      <w:r>
        <w:rPr>
          <w:rFonts w:hint="eastAsia" w:ascii="楷体_GB2312" w:hAnsi="楷体" w:eastAsia="楷体_GB2312" w:cs="楷体"/>
          <w:b/>
          <w:bCs/>
          <w:sz w:val="32"/>
          <w:szCs w:val="32"/>
        </w:rPr>
        <w:t>细化清查内容</w:t>
      </w:r>
    </w:p>
    <w:p>
      <w:pPr>
        <w:keepNext w:val="0"/>
        <w:keepLines w:val="0"/>
        <w:pageBreakBefore w:val="0"/>
        <w:widowControl w:val="0"/>
        <w:kinsoku/>
        <w:wordWrap/>
        <w:overflowPunct/>
        <w:topLinePunct w:val="0"/>
        <w:autoSpaceDE/>
        <w:autoSpaceDN/>
        <w:bidi w:val="0"/>
        <w:adjustRightInd/>
        <w:snapToGrid/>
        <w:spacing w:line="600" w:lineRule="exact"/>
        <w:ind w:right="14"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对农村集体所有的各类资产进行全面清产核资。在摸清农村集体资源性资产、经营性资产、非经营性资产整体情况的基础上，重点清查核实未承包到户的资源性资产和集体统一经营的经营性资产以及现金、债权债务等，查实存量、价值和使用情况，做到账证相符和账实相符。</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right="14" w:firstLine="643" w:firstLineChars="200"/>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规范处置资产</w:t>
      </w:r>
    </w:p>
    <w:p>
      <w:pPr>
        <w:keepNext w:val="0"/>
        <w:keepLines w:val="0"/>
        <w:pageBreakBefore w:val="0"/>
        <w:widowControl w:val="0"/>
        <w:kinsoku/>
        <w:wordWrap/>
        <w:overflowPunct/>
        <w:topLinePunct w:val="0"/>
        <w:autoSpaceDE/>
        <w:autoSpaceDN/>
        <w:bidi w:val="0"/>
        <w:adjustRightInd/>
        <w:snapToGrid/>
        <w:spacing w:line="600" w:lineRule="exact"/>
        <w:ind w:right="14"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对清查出的应入账但未登记入账的资产，经核对公示后登记入账；对有账无物或者核算不准确的资产，经核对公示后调整账目；对长期借出或者未按规定程序租赁转让的资产，要清理收回或者补办相关手续；对侵占集体资金和资产的，要督促当事人如数退赔；对涉及违规违纪的移交纪检监察机关处理，构成犯罪的移交司法机关依法追究当事人的刑事责任。</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right="14" w:firstLine="643" w:firstLineChars="200"/>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建立集体资产资源登记管理制度</w:t>
      </w:r>
    </w:p>
    <w:p>
      <w:pPr>
        <w:keepNext w:val="0"/>
        <w:keepLines w:val="0"/>
        <w:pageBreakBefore w:val="0"/>
        <w:widowControl w:val="0"/>
        <w:kinsoku/>
        <w:wordWrap/>
        <w:overflowPunct/>
        <w:topLinePunct w:val="0"/>
        <w:autoSpaceDE/>
        <w:autoSpaceDN/>
        <w:bidi w:val="0"/>
        <w:adjustRightInd/>
        <w:snapToGrid/>
        <w:spacing w:line="600" w:lineRule="exact"/>
        <w:ind w:right="14"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清产核资结果应向本集体经济组织全体成员公示，经成员大会或代表大会确认，报乡镇政府审核、县农经局备案。集体经济组织代表集体行使所有权并对所有清产核资核实后的集体资产按照资产类别进行管理。未成立集体经济组织的由相应的村民委员会、村民小组代表集体行使所有权。要建立固定资产管理台账，登记固定资产的基本情况及承包租赁等情况；建立集体土地资源登记簿，登记承包租赁、投资入股和土地资源存量等情况；搞好集体建设用地使用权等重点事项的登记。</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right="14" w:firstLine="643" w:firstLineChars="200"/>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加强农村集体资产财务管理</w:t>
      </w:r>
    </w:p>
    <w:p>
      <w:pPr>
        <w:keepNext w:val="0"/>
        <w:keepLines w:val="0"/>
        <w:pageBreakBefore w:val="0"/>
        <w:widowControl w:val="0"/>
        <w:kinsoku/>
        <w:wordWrap/>
        <w:overflowPunct/>
        <w:topLinePunct w:val="0"/>
        <w:autoSpaceDE/>
        <w:autoSpaceDN/>
        <w:bidi w:val="0"/>
        <w:adjustRightInd/>
        <w:snapToGrid/>
        <w:spacing w:line="600" w:lineRule="exact"/>
        <w:ind w:right="14"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改革后的集体经济组织要建立健全各项财务管理制度和会计核算办法。乡（镇）农经部门要加快建立完善农村集体资产监督管理平台，实现集体资金、资产、资源管理信息化，指导落实集体财务公开制度和集体经济组织成员的监督管理权。加强县、乡（镇）农村经营管理体系建设，强化对集体经济组织的指导监督，做好日常财务收支等定期审计及村干部任期和离任经济责任等专项审计。</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黑体" w:hAnsi="黑体" w:eastAsia="黑体" w:cs="黑体"/>
          <w:b/>
          <w:bCs/>
          <w:sz w:val="32"/>
          <w:szCs w:val="32"/>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b/>
          <w:bCs/>
          <w:sz w:val="32"/>
          <w:szCs w:val="32"/>
        </w:rPr>
        <w:t>三、工作步骤</w:t>
      </w:r>
    </w:p>
    <w:p>
      <w:pPr>
        <w:pStyle w:val="3"/>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（一）准备阶段（2017年11月10日前完成）</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val="0"/>
          <w:sz w:val="32"/>
          <w:szCs w:val="32"/>
        </w:rPr>
        <w:t>1.建立领导机构和工作机构。</w:t>
      </w:r>
      <w:r>
        <w:rPr>
          <w:rFonts w:hint="eastAsia" w:ascii="仿宋_GB2312" w:hAnsi="仿宋_GB2312" w:eastAsia="仿宋_GB2312" w:cs="仿宋_GB2312"/>
          <w:sz w:val="32"/>
          <w:szCs w:val="32"/>
        </w:rPr>
        <w:t xml:space="preserve">这次清产核资工作在县委、县政府统一领导下进行，成立馆陶县农村集体资产清产核资工作领导小组，组织领导此次清产核资工作。各乡镇要建立相应的领导机构和工作机构，组织专门工作班子抓具体工作。村成立由村党支部、村委会、村务监督委员会、村集体经济组织主要负责人和村会计人员、集体经济组织成员代表等人员组成的清产核资工作实施小组，具体负责村级集体资产清产核资工作。  </w:t>
      </w:r>
    </w:p>
    <w:p>
      <w:pPr>
        <w:pStyle w:val="3"/>
        <w:keepNext w:val="0"/>
        <w:keepLines w:val="0"/>
        <w:pageBreakBefore w:val="0"/>
        <w:widowControl w:val="0"/>
        <w:kinsoku/>
        <w:wordWrap/>
        <w:overflowPunct/>
        <w:topLinePunct w:val="0"/>
        <w:autoSpaceDE/>
        <w:autoSpaceDN/>
        <w:bidi w:val="0"/>
        <w:adjustRightInd/>
        <w:snapToGrid/>
        <w:spacing w:line="600" w:lineRule="exact"/>
        <w:ind w:firstLine="67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2.制定实施方案。</w:t>
      </w:r>
      <w:r>
        <w:rPr>
          <w:rFonts w:hint="eastAsia" w:ascii="仿宋_GB2312" w:hAnsi="仿宋_GB2312" w:eastAsia="仿宋_GB2312" w:cs="仿宋_GB2312"/>
          <w:sz w:val="32"/>
          <w:szCs w:val="32"/>
        </w:rPr>
        <w:t>各乡镇、村根据统一要求，结合各自实际，制定具体实施方案，乡镇实施方案报县农村集体资产清产核资工作领导小组办公室审核备案，村实施方案报乡镇农村集体资产清产核资工作领导小组备案。</w:t>
      </w:r>
    </w:p>
    <w:p>
      <w:pPr>
        <w:pStyle w:val="3"/>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3.加强舆论宣传。</w:t>
      </w:r>
      <w:r>
        <w:rPr>
          <w:rFonts w:hint="eastAsia" w:ascii="仿宋_GB2312" w:hAnsi="仿宋_GB2312" w:eastAsia="仿宋_GB2312" w:cs="仿宋_GB2312"/>
          <w:sz w:val="32"/>
          <w:szCs w:val="32"/>
        </w:rPr>
        <w:t>组织各类新闻媒体，加强对清产核资工作的宣传，使广大农民群众充分了解此次清产核资工作的重要意义、主要任务和工作要求，支持配合工作开展，为清产核资工作营造良好氛围。</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val="0"/>
          <w:sz w:val="32"/>
          <w:szCs w:val="32"/>
        </w:rPr>
        <w:t xml:space="preserve">  4.组织业务培训。</w:t>
      </w:r>
      <w:r>
        <w:rPr>
          <w:rFonts w:hint="eastAsia" w:ascii="仿宋_GB2312" w:hAnsi="仿宋_GB2312" w:eastAsia="仿宋_GB2312" w:cs="仿宋_GB2312"/>
          <w:sz w:val="32"/>
          <w:szCs w:val="32"/>
        </w:rPr>
        <w:t>开展清产核资工作专题培训，重点培训乡镇有关工作人员以及村清产核资工作实施小组人员，明确清产核资工作要求、有关政策规定和统计口径等。</w:t>
      </w:r>
    </w:p>
    <w:p>
      <w:pPr>
        <w:pStyle w:val="3"/>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（二）清查阶段（2017年11月11日-12月25日）</w:t>
      </w:r>
    </w:p>
    <w:p>
      <w:pPr>
        <w:pStyle w:val="3"/>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以2017年10月31日为清产核资基准日，村清产核资工作实施小组在县、乡镇清产核资领导小组指导下，按照具体实施方案，对本村（组）集体经济组织所有资产进行全面清理核实。</w:t>
      </w:r>
    </w:p>
    <w:p>
      <w:pPr>
        <w:pStyle w:val="3"/>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账务清理（11月11日-13日）。</w:t>
      </w:r>
      <w:r>
        <w:rPr>
          <w:rFonts w:hint="eastAsia" w:ascii="仿宋_GB2312" w:hAnsi="仿宋_GB2312" w:eastAsia="仿宋_GB2312" w:cs="仿宋_GB2312"/>
          <w:sz w:val="32"/>
          <w:szCs w:val="32"/>
        </w:rPr>
        <w:t>按照有关会计制度核算要求，确保各项收支业务、资产、负债完整准确入账，保证账账相符、账证相符、账实相符，编制清产核资基准日的各类会计报表及明细表。</w:t>
      </w:r>
    </w:p>
    <w:p>
      <w:pPr>
        <w:pStyle w:val="3"/>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“三资”清查（11月14日-24日）。</w:t>
      </w:r>
      <w:r>
        <w:rPr>
          <w:rFonts w:hint="eastAsia" w:ascii="仿宋_GB2312" w:hAnsi="仿宋_GB2312" w:eastAsia="仿宋_GB2312" w:cs="仿宋_GB2312"/>
          <w:sz w:val="32"/>
          <w:szCs w:val="32"/>
        </w:rPr>
        <w:t>对各项资金、资产、资源及负债和所有者权益进行全面的清理、核对和查实，填写《农村集体经济组织清产核资登记表》。逐项清理所有货币资金、应收及预付账款、对外投资、存货、固定资产和账外资产、资源，做好有关抵押、担保等事项的清理。同时梳理资产、资源的承包租赁协议、合同，整理债权债务发生的有关书面证明资料。在清查盘点过程中，要充分依靠各村、组干部和群众，重点对固定资产和资源性资产进行清查盘点。对固定资产要以账面数为基础，账内账外相结合，逐笔逐项盘点；对资源性资产，农工委、国土局要无缝对接共享确权登记数据，实现村集体土地的全面登记和覆盖。采取实地查看与测量数据相结合的办法进行盘点。对清查中遇到的问题，要按照尊重历史与民主决策的原则，集体研究处理。</w:t>
      </w:r>
    </w:p>
    <w:p>
      <w:pPr>
        <w:pStyle w:val="3"/>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资产评估（11月25日-30日）。</w:t>
      </w:r>
      <w:r>
        <w:rPr>
          <w:rFonts w:hint="eastAsia" w:ascii="仿宋_GB2312" w:hAnsi="仿宋_GB2312" w:eastAsia="仿宋_GB2312" w:cs="仿宋_GB2312"/>
          <w:sz w:val="32"/>
          <w:szCs w:val="32"/>
        </w:rPr>
        <w:t>对有物有账的固定资产，按原值登记；对有物无账的固定资产或价值不清的其他资产，由村集体讨论确定评估价值，也可聘请评估机构进行评估确认价值；对报废、有账无物的不实资产，由村清产核资实施小组拟定处理意见，经公示无异议后，列为报废和盘亏资产。</w:t>
      </w:r>
    </w:p>
    <w:p>
      <w:pPr>
        <w:pStyle w:val="3"/>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权属界定（12月1日-5日）。</w:t>
      </w:r>
      <w:r>
        <w:rPr>
          <w:rFonts w:hint="eastAsia" w:ascii="仿宋_GB2312" w:hAnsi="仿宋_GB2312" w:eastAsia="仿宋_GB2312" w:cs="仿宋_GB2312"/>
          <w:sz w:val="32"/>
          <w:szCs w:val="32"/>
        </w:rPr>
        <w:t>对权属不清、存在争议的资产、资源，按照“谁投资、谁所有、谁管理”的原则，由村清产核资实施小组拟定处理意见，经公示群众认可的权属暂时予以登记，同时上报乡镇清产核资工作领导小组协调处理，待权属明了后，再作调整。各涉农部门投入农村的“两室”、文体、教育、卫生、水利、道路、电力等设备设施要按照财政资金管理办法要求，确定权属和责任权限。由本部门投入的资金资产，根据部门意愿结合村组决定其归属，应该移交村级集体的要在11月底前完成移交手续，新发生的要在工程竣工一个月内办理移交手续。</w:t>
      </w:r>
    </w:p>
    <w:p>
      <w:pPr>
        <w:pStyle w:val="3"/>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公开公示（12月6日-13日）。</w:t>
      </w:r>
      <w:r>
        <w:rPr>
          <w:rFonts w:hint="eastAsia" w:ascii="仿宋_GB2312" w:hAnsi="仿宋_GB2312" w:eastAsia="仿宋_GB2312" w:cs="仿宋_GB2312"/>
          <w:sz w:val="32"/>
          <w:szCs w:val="32"/>
        </w:rPr>
        <w:t>清理工作完成后，由村务监督委员对“三资”数额、权属、台账与实物、处置与管理等情况进行核实，做到数额无误、产权明确、现状清楚。村清产核资实施小组应及时将资产核实的初步结果在村务公开栏中公示，公示时间不得少于7天，并保存好相应的影像资料。公示期间，村里安排有关人员受理群众咨询和反映，并认真做好记录和解释工作。公示期间，集体经济组织成员对“三资”清查结果有异议的，村实施小组要认真组织复查复核，直至群众认可。乡镇清产核资工作领导机构要设立监督电话，并在各村予以公布，接受群众举报和咨询。</w:t>
      </w:r>
    </w:p>
    <w:p>
      <w:pPr>
        <w:pStyle w:val="3"/>
        <w:keepNext w:val="0"/>
        <w:keepLines w:val="0"/>
        <w:pageBreakBefore w:val="0"/>
        <w:widowControl w:val="0"/>
        <w:kinsoku/>
        <w:wordWrap/>
        <w:overflowPunct/>
        <w:topLinePunct w:val="0"/>
        <w:autoSpaceDE/>
        <w:autoSpaceDN/>
        <w:bidi w:val="0"/>
        <w:adjustRightInd/>
        <w:snapToGrid/>
        <w:spacing w:line="600" w:lineRule="exact"/>
        <w:ind w:firstLine="69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结果确认（12月14日-16日）。</w:t>
      </w:r>
      <w:r>
        <w:rPr>
          <w:rFonts w:hint="eastAsia" w:ascii="仿宋_GB2312" w:hAnsi="仿宋_GB2312" w:eastAsia="仿宋_GB2312" w:cs="仿宋_GB2312"/>
          <w:sz w:val="32"/>
          <w:szCs w:val="32"/>
        </w:rPr>
        <w:t>公示期满无异议或异议问题已予解决的，按照有关规定，召开村民会议或村民代表会议，对集体“三资”清理结果进行确认。</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汇总报批（12月17日-20日）。</w:t>
      </w:r>
      <w:r>
        <w:rPr>
          <w:rFonts w:hint="eastAsia" w:ascii="仿宋_GB2312" w:hAnsi="仿宋_GB2312" w:eastAsia="仿宋_GB2312" w:cs="仿宋_GB2312"/>
          <w:sz w:val="32"/>
          <w:szCs w:val="32"/>
        </w:rPr>
        <w:t>乡镇对各村报送的清产核资结果进行审查并确认无误后，将各村《农村集体经济组织清产核资登记表》录入电脑进行汇总，并编写乡镇清产核资报告，上报县清产核资工作领导小组。县清产核资领导小组办公室，对乡镇上报的各村清产核资结果进行审核批复。</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整理归档（12月21日-23日）。</w:t>
      </w:r>
      <w:r>
        <w:rPr>
          <w:rFonts w:hint="eastAsia" w:ascii="仿宋_GB2312" w:hAnsi="仿宋_GB2312" w:eastAsia="仿宋_GB2312" w:cs="仿宋_GB2312"/>
          <w:sz w:val="32"/>
          <w:szCs w:val="32"/>
        </w:rPr>
        <w:t>对清产核资过程中形成的各种文件、资料、影像等分门别类进行归档整理，留存备查。县清产核资领导小组办公室和档案局要制定规范统一的目录和格式，指导乡、村做好归档整理工作。</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完善台账（12月24日-25日）。</w:t>
      </w:r>
      <w:r>
        <w:rPr>
          <w:rFonts w:hint="eastAsia" w:ascii="仿宋_GB2312" w:hAnsi="仿宋_GB2312" w:eastAsia="仿宋_GB2312" w:cs="仿宋_GB2312"/>
          <w:sz w:val="32"/>
          <w:szCs w:val="32"/>
        </w:rPr>
        <w:t>在明确农村集体经济组织资产权属的基础上，乡镇村级会计委托代理中心（“三资”委托代理服务中心）要依据县批复的清产核资结果，将村核查上报的“三资”数据、图片、合同等资料，建立台账，主要内容包括：资产资源的名称、类别、数量、计量单位、使用状况、所处位置、保管人等。实行承包、租赁经营的，还应当登记承包、租赁单位（人员）名称，承包、租赁期限，承包费或租赁金及收交情况等。村应保存一套资产、资源台账和经济合同台账。</w:t>
      </w:r>
    </w:p>
    <w:p>
      <w:pPr>
        <w:pStyle w:val="3"/>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（三）检查验收阶段（2017年12月26日-31日）</w:t>
      </w:r>
    </w:p>
    <w:p>
      <w:pPr>
        <w:pStyle w:val="3"/>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lang w:val="en-US" w:eastAsia="zh-CN" w:bidi="ar-SA"/>
        </w:rPr>
        <w:t>清产核资工作结束以后，乡镇、村（组）要进行全面总结。县清产核资工作领导小组办公室将组织对各乡镇、村（组）清产核资工作检查验收，做好迎接省市检查验收的准备工作。对成绩突出的，给予表彰奖励；对清产核资不彻底、走过场题突出的，责令限期整改；问题严重的，追究有关人员的责任。</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ascii="黑体" w:hAnsi="黑体" w:eastAsia="黑体" w:cs="黑体"/>
          <w:b/>
          <w:bCs/>
          <w:sz w:val="32"/>
          <w:szCs w:val="32"/>
        </w:rPr>
      </w:pPr>
      <w:r>
        <w:rPr>
          <w:rFonts w:hint="eastAsia" w:ascii="仿宋_GB2312" w:hAnsi="仿宋_GB2312" w:eastAsia="仿宋_GB2312" w:cs="仿宋_GB2312"/>
          <w:color w:val="333333"/>
          <w:sz w:val="32"/>
          <w:szCs w:val="32"/>
          <w:shd w:val="clear" w:color="auto" w:fill="FFFFFF"/>
        </w:rPr>
        <w:t>　</w:t>
      </w:r>
      <w:r>
        <w:rPr>
          <w:rFonts w:hint="eastAsia" w:ascii="黑体" w:hAnsi="黑体" w:eastAsia="黑体" w:cs="黑体"/>
          <w:b/>
          <w:bCs/>
          <w:color w:val="333333"/>
          <w:sz w:val="32"/>
          <w:szCs w:val="32"/>
          <w:shd w:val="clear" w:color="auto" w:fill="FFFFFF"/>
        </w:rPr>
        <w:t>　四、加强组织领导，强化监督检查</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703" w:firstLineChars="200"/>
        <w:textAlignment w:val="auto"/>
        <w:outlineLvl w:val="9"/>
        <w:rPr>
          <w:rFonts w:ascii="仿宋_GB2312" w:hAnsi="仿宋_GB2312" w:eastAsia="仿宋_GB2312" w:cs="仿宋_GB2312"/>
          <w:color w:val="333333"/>
          <w:sz w:val="32"/>
          <w:szCs w:val="32"/>
          <w:shd w:val="clear" w:color="auto" w:fill="FFFFFF"/>
        </w:rPr>
      </w:pPr>
      <w:r>
        <w:rPr>
          <w:rFonts w:hint="eastAsia" w:ascii="楷体_GB2312" w:hAnsi="楷体_GB2312" w:eastAsia="楷体_GB2312" w:cs="楷体_GB2312"/>
          <w:b/>
          <w:bCs/>
          <w:snapToGrid w:val="0"/>
          <w:color w:val="000000"/>
          <w:spacing w:val="15"/>
          <w:sz w:val="32"/>
          <w:szCs w:val="32"/>
        </w:rPr>
        <w:t>（一）加强组织领导。</w:t>
      </w:r>
      <w:r>
        <w:rPr>
          <w:rFonts w:hint="eastAsia" w:ascii="仿宋_GB2312" w:hAnsi="仿宋_GB2312" w:eastAsia="仿宋_GB2312" w:cs="仿宋_GB2312"/>
          <w:color w:val="333333"/>
          <w:sz w:val="32"/>
          <w:szCs w:val="32"/>
          <w:shd w:val="clear" w:color="auto" w:fill="FFFFFF"/>
        </w:rPr>
        <w:t>为加强对全县农村集体资产清产核资工作的领导，成立由县委副书记、县长任组长，县委、人大、政府、政协主管领导，法院、检察院、公安主要负责同志任副组长，农经、财政、审计、发改、组织、国土、农牧等部门主要负责同志为成员的县农村集体资产清产核资工作领导小组，领导小组下设办公室，负责监督、指导、协调全县农村集体资产清产核资工作。</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outlineLvl w:val="9"/>
        <w:rPr>
          <w:rFonts w:ascii="仿宋_GB2312" w:hAnsi="仿宋_GB2312" w:eastAsia="仿宋_GB2312" w:cs="仿宋_GB2312"/>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（二）明确责任主体。</w:t>
      </w:r>
      <w:r>
        <w:rPr>
          <w:rFonts w:hint="eastAsia" w:ascii="仿宋_GB2312" w:hAnsi="仿宋_GB2312" w:eastAsia="仿宋_GB2312" w:cs="仿宋_GB2312"/>
          <w:color w:val="333333"/>
          <w:sz w:val="32"/>
          <w:szCs w:val="32"/>
          <w:shd w:val="clear" w:color="auto" w:fill="FFFFFF"/>
        </w:rPr>
        <w:t>清产核资是农村集体"三资"管理和推进农村集体产权制度改革的基础性工作，涉及面广、政策性强、工作量大，实行乡镇、村党组织一把手负责制，实行县级业务指导、乡镇组织实施、村级具体操作。各相关部门要按照各自的职责配合做好资产清查、资产评估、确权登记、产权界定、规范管理等工作。</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textAlignment w:val="auto"/>
        <w:outlineLvl w:val="9"/>
        <w:rPr>
          <w:rFonts w:ascii="仿宋_GB2312" w:hAnsi="仿宋_GB2312" w:eastAsia="仿宋_GB2312" w:cs="仿宋_GB2312"/>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（三）规范工作程序</w:t>
      </w:r>
      <w:r>
        <w:rPr>
          <w:rFonts w:hint="eastAsia" w:ascii="仿宋_GB2312" w:hAnsi="仿宋_GB2312" w:eastAsia="仿宋_GB2312" w:cs="仿宋_GB2312"/>
          <w:b/>
          <w:bCs/>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农村集体资产清产核资工作要按照国家的有关文件和本方案的规定进行，全县统一领导、统一部署、统一政策、统一资产估价与价值重估的标准、统一报表格式、统一培训资料。对清产核资工作中遇到的各类问题，要认真做好分析，加强分类指导，及时制定对策措施，统一政策界限，统一资产处置口径，形成清产核资的政策体系。</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outlineLvl w:val="9"/>
        <w:rPr>
          <w:rFonts w:ascii="仿宋_GB2312" w:hAnsi="仿宋_GB2312" w:eastAsia="仿宋_GB2312" w:cs="仿宋_GB2312"/>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（四）严明工作纪律。</w:t>
      </w:r>
      <w:r>
        <w:rPr>
          <w:rFonts w:hint="eastAsia" w:ascii="仿宋_GB2312" w:hAnsi="仿宋_GB2312" w:eastAsia="仿宋_GB2312" w:cs="仿宋_GB2312"/>
          <w:color w:val="333333"/>
          <w:sz w:val="32"/>
          <w:szCs w:val="32"/>
          <w:shd w:val="clear" w:color="auto" w:fill="FFFFFF"/>
        </w:rPr>
        <w:t>清产核资工作牵涉到群众和村集体的直接利益，一定要严明纪律，严禁借机擅自处置、私分瞒报、漏报、误报、谎报集体资产等损害集体和群众利益问题的发生。清产核资工作完成后，县级将组织监察、审计、财政、农经等部门开展清产核资责任审计工作，严格审核清查结果，落实责任追究制度，对违纪、违反法行为由有关部门依据法律法规和党纪政纪严肃处理。</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textAlignment w:val="auto"/>
        <w:outlineLvl w:val="9"/>
        <w:rPr>
          <w:rFonts w:ascii="仿宋_GB2312" w:hAnsi="仿宋_GB2312" w:eastAsia="仿宋_GB2312" w:cs="仿宋_GB2312"/>
          <w:color w:val="333333"/>
          <w:sz w:val="32"/>
          <w:szCs w:val="32"/>
          <w:shd w:val="clear" w:color="auto" w:fill="FFFFFF"/>
        </w:rPr>
      </w:pPr>
      <w:r>
        <w:rPr>
          <w:rFonts w:hint="eastAsia" w:ascii="楷体_GB2312" w:hAnsi="楷体" w:eastAsia="楷体_GB2312" w:cs="楷体"/>
          <w:b/>
          <w:bCs/>
          <w:color w:val="333333"/>
          <w:sz w:val="32"/>
          <w:szCs w:val="32"/>
          <w:shd w:val="clear" w:color="auto" w:fill="FFFFFF"/>
        </w:rPr>
        <w:t>（五）加强督导检查</w:t>
      </w:r>
      <w:r>
        <w:rPr>
          <w:rFonts w:hint="eastAsia" w:ascii="楷体_GB2312" w:hAnsi="楷体" w:eastAsia="楷体_GB2312" w:cs="楷体"/>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清产核资是农村集体产权制度改革的基础性工作，时间紧、任务重、责任大，各乡镇、村和相关部门一定要加快进度、保证质量，县督评办、县清产核资领导工作小组办公室要定期督导，及时报告清产核资进度，确保年底前完成清产核任务。</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333333"/>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333333"/>
          <w:kern w:val="0"/>
          <w:sz w:val="32"/>
          <w:szCs w:val="32"/>
          <w:shd w:val="clear" w:color="auto" w:fill="FFFFFF"/>
          <w:lang w:val="en-US" w:eastAsia="zh-CN" w:bidi="ar-SA"/>
        </w:rPr>
      </w:pPr>
      <w:r>
        <w:rPr>
          <w:rFonts w:hint="eastAsia" w:ascii="仿宋_GB2312" w:hAnsi="仿宋_GB2312" w:eastAsia="仿宋_GB2312" w:cs="仿宋_GB2312"/>
          <w:color w:val="333333"/>
          <w:kern w:val="0"/>
          <w:sz w:val="32"/>
          <w:szCs w:val="32"/>
          <w:shd w:val="clear" w:color="auto" w:fill="FFFFFF"/>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333333"/>
          <w:kern w:val="0"/>
          <w:sz w:val="32"/>
          <w:szCs w:val="32"/>
          <w:shd w:val="clear" w:color="auto" w:fill="FFFFFF"/>
          <w:lang w:val="en-US" w:eastAsia="zh-CN" w:bidi="ar-SA"/>
        </w:rPr>
      </w:pPr>
      <w:r>
        <w:rPr>
          <w:rFonts w:hint="eastAsia" w:ascii="仿宋_GB2312" w:hAnsi="仿宋_GB2312" w:eastAsia="仿宋_GB2312" w:cs="仿宋_GB2312"/>
          <w:color w:val="333333"/>
          <w:kern w:val="0"/>
          <w:sz w:val="32"/>
          <w:szCs w:val="32"/>
          <w:shd w:val="clear" w:color="auto" w:fill="FFFFFF"/>
          <w:lang w:val="en-US" w:eastAsia="zh-CN" w:bidi="ar-SA"/>
        </w:rPr>
        <w:t>1、馆陶县农村集体资产清产核资工作领导小组成员名单</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333333"/>
          <w:kern w:val="0"/>
          <w:sz w:val="32"/>
          <w:szCs w:val="32"/>
          <w:shd w:val="clear" w:color="auto" w:fill="FFFFFF"/>
          <w:lang w:val="en-US" w:eastAsia="zh-CN" w:bidi="ar-SA"/>
        </w:rPr>
      </w:pPr>
      <w:r>
        <w:rPr>
          <w:rFonts w:hint="eastAsia" w:ascii="仿宋_GB2312" w:hAnsi="仿宋_GB2312" w:eastAsia="仿宋_GB2312" w:cs="仿宋_GB2312"/>
          <w:color w:val="333333"/>
          <w:kern w:val="0"/>
          <w:sz w:val="32"/>
          <w:szCs w:val="32"/>
          <w:shd w:val="clear" w:color="auto" w:fill="FFFFFF"/>
          <w:lang w:val="en-US" w:eastAsia="zh-CN" w:bidi="ar-SA"/>
        </w:rPr>
        <w:t xml:space="preserve">2、涉及部分部门清产核资重点内容                </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jc w:val="right"/>
        <w:textAlignment w:val="auto"/>
        <w:outlineLvl w:val="9"/>
        <w:rPr>
          <w:rFonts w:ascii="仿宋" w:hAnsi="仿宋" w:eastAsia="仿宋" w:cs="仿宋"/>
          <w:w w:val="94"/>
          <w:kern w:val="2"/>
          <w:sz w:val="32"/>
          <w:szCs w:val="32"/>
        </w:rPr>
      </w:pPr>
    </w:p>
    <w:p>
      <w:pPr>
        <w:pStyle w:val="6"/>
        <w:keepNext w:val="0"/>
        <w:keepLines w:val="0"/>
        <w:pageBreakBefore w:val="0"/>
        <w:widowControl/>
        <w:kinsoku/>
        <w:wordWrap/>
        <w:overflowPunct/>
        <w:topLinePunct w:val="0"/>
        <w:autoSpaceDE/>
        <w:autoSpaceDN/>
        <w:bidi w:val="0"/>
        <w:adjustRightInd/>
        <w:snapToGrid/>
        <w:spacing w:beforeAutospacing="0" w:afterAutospacing="0" w:line="600" w:lineRule="exact"/>
        <w:jc w:val="right"/>
        <w:textAlignment w:val="auto"/>
        <w:outlineLvl w:val="9"/>
        <w:rPr>
          <w:rFonts w:ascii="仿宋_GB2312" w:hAnsi="仿宋_GB2312" w:eastAsia="仿宋_GB2312" w:cs="仿宋_GB2312"/>
          <w:color w:val="333333"/>
          <w:sz w:val="32"/>
          <w:szCs w:val="32"/>
          <w:shd w:val="clear" w:color="auto" w:fill="FFFFFF"/>
        </w:rPr>
      </w:pPr>
    </w:p>
    <w:p>
      <w:pPr>
        <w:keepNext w:val="0"/>
        <w:keepLines w:val="0"/>
        <w:pageBreakBefore w:val="0"/>
        <w:kinsoku/>
        <w:wordWrap/>
        <w:overflowPunct/>
        <w:topLinePunct w:val="0"/>
        <w:autoSpaceDE/>
        <w:autoSpaceDN/>
        <w:bidi w:val="0"/>
        <w:adjustRightInd/>
        <w:snapToGrid/>
        <w:spacing w:line="600" w:lineRule="exact"/>
        <w:jc w:val="left"/>
        <w:textAlignment w:val="auto"/>
        <w:outlineLvl w:val="9"/>
        <w:rPr>
          <w:rFonts w:hint="eastAsia" w:ascii="黑体" w:hAnsi="黑体" w:eastAsia="黑体" w:cs="黑体"/>
          <w:b w:val="0"/>
          <w:bCs w:val="0"/>
          <w:w w:val="99"/>
          <w:sz w:val="32"/>
          <w:szCs w:val="32"/>
        </w:rPr>
      </w:pPr>
      <w:r>
        <w:rPr>
          <w:rFonts w:hint="eastAsia" w:ascii="黑体" w:hAnsi="黑体" w:eastAsia="黑体" w:cs="黑体"/>
          <w:b w:val="0"/>
          <w:bCs w:val="0"/>
          <w:w w:val="99"/>
          <w:sz w:val="32"/>
          <w:szCs w:val="32"/>
        </w:rPr>
        <w:t>附件1</w:t>
      </w:r>
    </w:p>
    <w:p>
      <w:pPr>
        <w:keepNext w:val="0"/>
        <w:keepLines w:val="0"/>
        <w:pageBreakBefore w:val="0"/>
        <w:kinsoku/>
        <w:wordWrap/>
        <w:overflowPunct/>
        <w:topLinePunct w:val="0"/>
        <w:autoSpaceDE/>
        <w:autoSpaceDN/>
        <w:bidi w:val="0"/>
        <w:adjustRightInd/>
        <w:snapToGrid/>
        <w:spacing w:line="600" w:lineRule="exact"/>
        <w:jc w:val="left"/>
        <w:textAlignment w:val="auto"/>
        <w:outlineLvl w:val="9"/>
        <w:rPr>
          <w:rFonts w:hint="eastAsia" w:ascii="黑体" w:hAnsi="黑体" w:eastAsia="黑体" w:cs="黑体"/>
          <w:b w:val="0"/>
          <w:bCs w:val="0"/>
          <w:w w:val="99"/>
          <w:sz w:val="32"/>
          <w:szCs w:val="32"/>
        </w:rPr>
      </w:pPr>
    </w:p>
    <w:p>
      <w:pPr>
        <w:keepNext w:val="0"/>
        <w:keepLines w:val="0"/>
        <w:pageBreakBefore w:val="0"/>
        <w:kinsoku/>
        <w:wordWrap/>
        <w:overflowPunct/>
        <w:topLinePunct w:val="0"/>
        <w:autoSpaceDE/>
        <w:autoSpaceDN/>
        <w:bidi w:val="0"/>
        <w:adjustRightInd/>
        <w:snapToGrid/>
        <w:spacing w:line="600" w:lineRule="exact"/>
        <w:ind w:firstLine="578"/>
        <w:jc w:val="center"/>
        <w:textAlignment w:val="auto"/>
        <w:outlineLvl w:val="9"/>
        <w:rPr>
          <w:rFonts w:ascii="方正小标宋简体" w:hAnsi="方正小标宋简体" w:eastAsia="方正小标宋简体" w:cs="方正小标宋简体"/>
          <w:w w:val="99"/>
          <w:sz w:val="44"/>
          <w:szCs w:val="44"/>
        </w:rPr>
      </w:pPr>
      <w:r>
        <w:rPr>
          <w:rFonts w:hint="eastAsia" w:ascii="方正小标宋简体" w:hAnsi="方正小标宋简体" w:eastAsia="方正小标宋简体" w:cs="方正小标宋简体"/>
          <w:w w:val="94"/>
          <w:sz w:val="44"/>
          <w:szCs w:val="44"/>
        </w:rPr>
        <w:t>馆陶县农村集体资产清产核资工作领导小</w:t>
      </w:r>
      <w:r>
        <w:rPr>
          <w:rFonts w:hint="eastAsia" w:ascii="方正小标宋简体" w:hAnsi="方正小标宋简体" w:eastAsia="方正小标宋简体" w:cs="方正小标宋简体"/>
          <w:w w:val="99"/>
          <w:sz w:val="44"/>
          <w:szCs w:val="44"/>
        </w:rPr>
        <w:t>组成员名单</w:t>
      </w:r>
    </w:p>
    <w:p>
      <w:pPr>
        <w:keepNext w:val="0"/>
        <w:keepLines w:val="0"/>
        <w:pageBreakBefore w:val="0"/>
        <w:kinsoku/>
        <w:wordWrap/>
        <w:overflowPunct/>
        <w:topLinePunct w:val="0"/>
        <w:autoSpaceDE/>
        <w:autoSpaceDN/>
        <w:bidi w:val="0"/>
        <w:adjustRightInd/>
        <w:snapToGrid/>
        <w:spacing w:line="600" w:lineRule="exact"/>
        <w:ind w:firstLine="578"/>
        <w:jc w:val="left"/>
        <w:textAlignment w:val="auto"/>
        <w:outlineLvl w:val="9"/>
        <w:rPr>
          <w:rFonts w:ascii="仿宋" w:hAnsi="仿宋" w:eastAsia="仿宋" w:cs="仿宋_GB2312"/>
          <w:w w:val="99"/>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 xml:space="preserve">组    </w:t>
      </w:r>
      <w:r>
        <w:rPr>
          <w:rFonts w:hint="eastAsia" w:ascii="仿宋_GB2312" w:hAnsi="仿宋_GB2312" w:eastAsia="仿宋_GB2312" w:cs="仿宋_GB2312"/>
          <w:w w:val="99"/>
          <w:kern w:val="0"/>
          <w:sz w:val="32"/>
          <w:szCs w:val="32"/>
          <w:lang w:val="en-US" w:eastAsia="zh-CN"/>
        </w:rPr>
        <w:t xml:space="preserve">   </w:t>
      </w:r>
      <w:r>
        <w:rPr>
          <w:rFonts w:hint="eastAsia" w:ascii="仿宋_GB2312" w:hAnsi="仿宋_GB2312" w:eastAsia="仿宋_GB2312" w:cs="仿宋_GB2312"/>
          <w:w w:val="99"/>
          <w:kern w:val="0"/>
          <w:sz w:val="32"/>
          <w:szCs w:val="32"/>
        </w:rPr>
        <w:t>长：孟凡雄  县委副书记、县政府县长</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常务副组长：樊四明  县委副书记</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副  组  长：王新江  县委常委、县委办公室主任</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赵鹏飞  县委常委、县政府常务副县长</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0"/>
          <w:szCs w:val="30"/>
        </w:rPr>
      </w:pPr>
      <w:r>
        <w:rPr>
          <w:rFonts w:hint="eastAsia" w:ascii="仿宋_GB2312" w:hAnsi="仿宋_GB2312" w:eastAsia="仿宋_GB2312" w:cs="仿宋_GB2312"/>
          <w:w w:val="99"/>
          <w:kern w:val="0"/>
          <w:sz w:val="32"/>
          <w:szCs w:val="32"/>
        </w:rPr>
        <w:t xml:space="preserve">李春红  </w:t>
      </w:r>
      <w:r>
        <w:rPr>
          <w:rFonts w:hint="eastAsia" w:ascii="仿宋_GB2312" w:hAnsi="仿宋_GB2312" w:eastAsia="仿宋_GB2312" w:cs="仿宋_GB2312"/>
          <w:w w:val="99"/>
          <w:kern w:val="0"/>
          <w:sz w:val="30"/>
          <w:szCs w:val="30"/>
        </w:rPr>
        <w:t>县委常委、县政府副县长、农工委书记</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郭  勇　县委常委、组织部长</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牛兰学  县人大副主任</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 xml:space="preserve">        秦书军  县政协副主席</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安新庆  县法院院长</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方尚杰  县检察院检察长</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 xml:space="preserve">        侯更祥  县公安局局长</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 xml:space="preserve">成   </w:t>
      </w:r>
      <w:r>
        <w:rPr>
          <w:rFonts w:hint="eastAsia" w:ascii="仿宋_GB2312" w:hAnsi="仿宋_GB2312" w:eastAsia="仿宋_GB2312" w:cs="仿宋_GB2312"/>
          <w:w w:val="99"/>
          <w:kern w:val="0"/>
          <w:sz w:val="32"/>
          <w:szCs w:val="32"/>
          <w:lang w:val="en-US" w:eastAsia="zh-CN"/>
        </w:rPr>
        <w:t xml:space="preserve">  </w:t>
      </w:r>
      <w:r>
        <w:rPr>
          <w:rFonts w:hint="eastAsia" w:ascii="仿宋_GB2312" w:hAnsi="仿宋_GB2312" w:eastAsia="仿宋_GB2312" w:cs="仿宋_GB2312"/>
          <w:w w:val="99"/>
          <w:kern w:val="0"/>
          <w:sz w:val="32"/>
          <w:szCs w:val="32"/>
        </w:rPr>
        <w:t xml:space="preserve"> 员：</w:t>
      </w:r>
      <w:r>
        <w:rPr>
          <w:rFonts w:hint="eastAsia" w:ascii="仿宋_GB2312" w:hAnsi="仿宋_GB2312" w:eastAsia="仿宋_GB2312" w:cs="仿宋_GB2312"/>
          <w:w w:val="99"/>
          <w:kern w:val="0"/>
          <w:sz w:val="32"/>
          <w:szCs w:val="32"/>
          <w:lang w:val="en-US" w:eastAsia="zh-CN"/>
        </w:rPr>
        <w:t xml:space="preserve"> </w:t>
      </w:r>
      <w:r>
        <w:rPr>
          <w:rFonts w:hint="eastAsia" w:ascii="仿宋_GB2312" w:hAnsi="仿宋_GB2312" w:eastAsia="仿宋_GB2312" w:cs="仿宋_GB2312"/>
          <w:w w:val="99"/>
          <w:kern w:val="0"/>
          <w:sz w:val="32"/>
          <w:szCs w:val="32"/>
        </w:rPr>
        <w:t>宋其涛  县委办公室常务副主任</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 xml:space="preserve">        平韦振  县政府办公室主任</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刘呈山  县委农工委常务工作负责人</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 xml:space="preserve">        张富敬  县纪委副书记、监察局局长</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汪保忠  县委组织部常务副部长</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 xml:space="preserve">        睢仕显  县委宣传部常务副部长</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 xml:space="preserve">        李文军  县政法委常务副书记</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 xml:space="preserve">        闫银瑞  县农经局局长</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 xml:space="preserve">        陈  华  县编办主任</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 xml:space="preserve">        张善宁  县审计局局长</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张延卿  县发改局党组书记</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 xml:space="preserve">        郝文启  县财政局局长</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 xml:space="preserve">        田  东  县国土局局长</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古泽川  县农牧局局长</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石学平  县交通局局长</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 xml:space="preserve">        吴怀涛  县水利局局长</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 xml:space="preserve">        张延良  县住房和城乡规划建设局局长</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赵树新  县教育局局长</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徐义广  县民政局局长</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赵培俊  县卫计局局长</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武林祥  县文广新体局局长</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王国江  县扶贫和农业开发办主任</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冯爱华  县档案局局长</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孙英锋  县农牧局副局长</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王芳玲  蔬菜办</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燕伟栋  县发改局（物价局）</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高志勇  县供电公司经理</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于兴峰  馆陶镇党委书记</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刘  朋  房寨镇党委书记</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袁云霄  柴堡镇党委书记</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张付军  魏僧寨镇党委书记</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李兆文  路桥乡党委书记、乡长</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 xml:space="preserve">        高尚国  南徐村乡党委书记</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 xml:space="preserve">        高玉青  王桥乡党委书记</w:t>
      </w:r>
    </w:p>
    <w:p>
      <w:pPr>
        <w:keepNext w:val="0"/>
        <w:keepLines w:val="0"/>
        <w:pageBreakBefore w:val="0"/>
        <w:kinsoku/>
        <w:wordWrap/>
        <w:overflowPunct/>
        <w:topLinePunct w:val="0"/>
        <w:autoSpaceDE/>
        <w:autoSpaceDN/>
        <w:bidi w:val="0"/>
        <w:adjustRightInd/>
        <w:snapToGrid/>
        <w:spacing w:line="600" w:lineRule="exact"/>
        <w:ind w:firstLine="1896" w:firstLineChars="6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王  栋  寿山寺乡乡长</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ascii="仿宋_GB2312" w:hAnsi="仿宋_GB2312" w:eastAsia="仿宋_GB2312" w:cs="仿宋_GB2312"/>
          <w:w w:val="99"/>
          <w:kern w:val="0"/>
          <w:sz w:val="32"/>
          <w:szCs w:val="32"/>
        </w:rPr>
      </w:pPr>
      <w:r>
        <w:rPr>
          <w:rFonts w:hint="eastAsia" w:ascii="仿宋_GB2312" w:hAnsi="仿宋_GB2312" w:eastAsia="仿宋_GB2312" w:cs="仿宋_GB2312"/>
          <w:w w:val="99"/>
          <w:kern w:val="0"/>
          <w:sz w:val="32"/>
          <w:szCs w:val="32"/>
        </w:rPr>
        <w:t>县农村集体资产清产核资领导小组下设办公室，办公室设在县农经局，办公室主任由闫银瑞同志兼任。</w:t>
      </w:r>
    </w:p>
    <w:p>
      <w:pPr>
        <w:pStyle w:val="6"/>
        <w:widowControl/>
        <w:spacing w:beforeAutospacing="0" w:afterAutospacing="0" w:line="600" w:lineRule="exact"/>
        <w:jc w:val="right"/>
        <w:rPr>
          <w:rFonts w:ascii="仿宋_GB2312" w:hAnsi="仿宋_GB2312" w:eastAsia="仿宋_GB2312" w:cs="仿宋_GB2312"/>
          <w:color w:val="333333"/>
          <w:sz w:val="32"/>
          <w:szCs w:val="32"/>
          <w:shd w:val="clear" w:color="auto" w:fill="FFFFFF"/>
        </w:rPr>
      </w:pPr>
    </w:p>
    <w:p>
      <w:pPr>
        <w:pStyle w:val="6"/>
        <w:widowControl/>
        <w:spacing w:beforeAutospacing="0" w:afterAutospacing="0" w:line="600" w:lineRule="exact"/>
        <w:jc w:val="center"/>
        <w:rPr>
          <w:rFonts w:ascii="仿宋_GB2312" w:hAnsi="仿宋_GB2312" w:eastAsia="仿宋_GB2312" w:cs="仿宋_GB2312"/>
          <w:color w:val="333333"/>
          <w:sz w:val="32"/>
          <w:szCs w:val="32"/>
          <w:shd w:val="clear" w:color="auto" w:fill="FFFFFF"/>
        </w:rPr>
      </w:pPr>
    </w:p>
    <w:p>
      <w:pPr>
        <w:pStyle w:val="6"/>
        <w:widowControl/>
        <w:spacing w:beforeAutospacing="0" w:afterAutospacing="0" w:line="600" w:lineRule="exact"/>
        <w:jc w:val="right"/>
        <w:rPr>
          <w:rFonts w:ascii="仿宋_GB2312" w:hAnsi="仿宋_GB2312" w:eastAsia="仿宋_GB2312" w:cs="仿宋_GB2312"/>
          <w:color w:val="333333"/>
          <w:sz w:val="32"/>
          <w:szCs w:val="32"/>
          <w:shd w:val="clear" w:color="auto" w:fill="FFFFFF"/>
        </w:rPr>
      </w:pPr>
    </w:p>
    <w:p>
      <w:pPr>
        <w:pStyle w:val="6"/>
        <w:widowControl/>
        <w:spacing w:beforeAutospacing="0" w:afterAutospacing="0" w:line="600" w:lineRule="exact"/>
        <w:jc w:val="right"/>
        <w:rPr>
          <w:rFonts w:ascii="仿宋_GB2312" w:hAnsi="仿宋_GB2312" w:eastAsia="仿宋_GB2312" w:cs="仿宋_GB2312"/>
          <w:color w:val="333333"/>
          <w:sz w:val="32"/>
          <w:szCs w:val="32"/>
          <w:shd w:val="clear" w:color="auto" w:fill="FFFFFF"/>
        </w:rPr>
      </w:pPr>
    </w:p>
    <w:p>
      <w:pPr>
        <w:pStyle w:val="6"/>
        <w:widowControl/>
        <w:spacing w:beforeAutospacing="0" w:afterAutospacing="0" w:line="600" w:lineRule="exact"/>
        <w:jc w:val="right"/>
        <w:rPr>
          <w:rFonts w:ascii="仿宋_GB2312" w:hAnsi="仿宋_GB2312" w:eastAsia="仿宋_GB2312" w:cs="仿宋_GB2312"/>
          <w:color w:val="333333"/>
          <w:sz w:val="32"/>
          <w:szCs w:val="32"/>
          <w:shd w:val="clear" w:color="auto" w:fill="FFFFFF"/>
        </w:rPr>
      </w:pPr>
    </w:p>
    <w:p>
      <w:pPr>
        <w:pStyle w:val="6"/>
        <w:widowControl/>
        <w:spacing w:beforeAutospacing="0" w:afterAutospacing="0" w:line="600" w:lineRule="exact"/>
        <w:jc w:val="right"/>
        <w:rPr>
          <w:rFonts w:ascii="仿宋_GB2312" w:hAnsi="仿宋_GB2312" w:eastAsia="仿宋_GB2312" w:cs="仿宋_GB2312"/>
          <w:color w:val="333333"/>
          <w:sz w:val="32"/>
          <w:szCs w:val="32"/>
          <w:shd w:val="clear" w:color="auto" w:fill="FFFFFF"/>
        </w:rPr>
      </w:pPr>
    </w:p>
    <w:p>
      <w:pPr>
        <w:pStyle w:val="6"/>
        <w:widowControl/>
        <w:spacing w:beforeAutospacing="0" w:afterAutospacing="0" w:line="600" w:lineRule="exact"/>
        <w:jc w:val="right"/>
        <w:rPr>
          <w:rFonts w:ascii="仿宋_GB2312" w:hAnsi="仿宋_GB2312" w:eastAsia="仿宋_GB2312" w:cs="仿宋_GB2312"/>
          <w:color w:val="333333"/>
          <w:sz w:val="32"/>
          <w:szCs w:val="32"/>
          <w:shd w:val="clear" w:color="auto" w:fill="FFFFFF"/>
        </w:rPr>
      </w:pPr>
    </w:p>
    <w:p>
      <w:pPr>
        <w:pStyle w:val="6"/>
        <w:widowControl/>
        <w:spacing w:beforeAutospacing="0" w:afterAutospacing="0" w:line="600" w:lineRule="exact"/>
        <w:jc w:val="right"/>
        <w:rPr>
          <w:rFonts w:ascii="仿宋_GB2312" w:hAnsi="仿宋_GB2312" w:eastAsia="仿宋_GB2312" w:cs="仿宋_GB2312"/>
          <w:color w:val="333333"/>
          <w:sz w:val="32"/>
          <w:szCs w:val="32"/>
          <w:shd w:val="clear" w:color="auto" w:fill="FFFFFF"/>
        </w:rPr>
      </w:pPr>
    </w:p>
    <w:p>
      <w:pPr>
        <w:pStyle w:val="6"/>
        <w:widowControl/>
        <w:spacing w:beforeAutospacing="0" w:afterAutospacing="0" w:line="600" w:lineRule="exact"/>
        <w:jc w:val="right"/>
        <w:rPr>
          <w:rFonts w:ascii="仿宋_GB2312" w:hAnsi="仿宋_GB2312" w:eastAsia="仿宋_GB2312" w:cs="仿宋_GB2312"/>
          <w:color w:val="333333"/>
          <w:sz w:val="32"/>
          <w:szCs w:val="32"/>
          <w:shd w:val="clear" w:color="auto" w:fill="FFFFFF"/>
        </w:rPr>
      </w:pPr>
    </w:p>
    <w:p>
      <w:pPr>
        <w:pStyle w:val="6"/>
        <w:widowControl/>
        <w:spacing w:beforeAutospacing="0" w:afterAutospacing="0" w:line="600" w:lineRule="exact"/>
        <w:jc w:val="right"/>
        <w:rPr>
          <w:rFonts w:ascii="仿宋_GB2312" w:hAnsi="仿宋_GB2312" w:eastAsia="仿宋_GB2312" w:cs="仿宋_GB2312"/>
          <w:color w:val="333333"/>
          <w:sz w:val="32"/>
          <w:szCs w:val="32"/>
          <w:shd w:val="clear" w:color="auto" w:fill="FFFFFF"/>
        </w:rPr>
      </w:pPr>
    </w:p>
    <w:p>
      <w:pPr>
        <w:pStyle w:val="6"/>
        <w:widowControl/>
        <w:spacing w:beforeAutospacing="0" w:afterAutospacing="0" w:line="600" w:lineRule="exact"/>
        <w:jc w:val="right"/>
        <w:rPr>
          <w:rFonts w:ascii="仿宋_GB2312" w:hAnsi="仿宋_GB2312" w:eastAsia="仿宋_GB2312" w:cs="仿宋_GB2312"/>
          <w:color w:val="333333"/>
          <w:sz w:val="32"/>
          <w:szCs w:val="32"/>
          <w:shd w:val="clear" w:color="auto" w:fill="FFFFFF"/>
        </w:rPr>
      </w:pPr>
    </w:p>
    <w:p>
      <w:pPr>
        <w:pStyle w:val="6"/>
        <w:widowControl/>
        <w:spacing w:beforeAutospacing="0" w:afterAutospacing="0" w:line="600" w:lineRule="exact"/>
        <w:jc w:val="right"/>
        <w:rPr>
          <w:rFonts w:ascii="仿宋_GB2312" w:hAnsi="仿宋_GB2312" w:eastAsia="仿宋_GB2312" w:cs="仿宋_GB2312"/>
          <w:color w:val="333333"/>
          <w:sz w:val="32"/>
          <w:szCs w:val="32"/>
          <w:shd w:val="clear" w:color="auto" w:fill="FFFFFF"/>
        </w:rPr>
      </w:pPr>
    </w:p>
    <w:p>
      <w:pPr>
        <w:pStyle w:val="6"/>
        <w:widowControl/>
        <w:spacing w:beforeAutospacing="0" w:afterAutospacing="0" w:line="600" w:lineRule="exact"/>
        <w:jc w:val="right"/>
        <w:rPr>
          <w:rFonts w:ascii="仿宋_GB2312" w:hAnsi="仿宋_GB2312" w:eastAsia="仿宋_GB2312" w:cs="仿宋_GB2312"/>
          <w:color w:val="333333"/>
          <w:sz w:val="32"/>
          <w:szCs w:val="32"/>
          <w:shd w:val="clear" w:color="auto" w:fill="FFFFFF"/>
        </w:rPr>
      </w:pPr>
    </w:p>
    <w:p>
      <w:pPr>
        <w:pStyle w:val="6"/>
        <w:widowControl/>
        <w:spacing w:beforeAutospacing="0" w:afterAutospacing="0" w:line="600" w:lineRule="exact"/>
        <w:rPr>
          <w:rFonts w:ascii="黑体" w:hAnsi="黑体" w:eastAsia="黑体" w:cs="黑体"/>
          <w:b w:val="0"/>
          <w:bCs w:val="0"/>
          <w:color w:val="333333"/>
          <w:sz w:val="32"/>
          <w:szCs w:val="32"/>
          <w:shd w:val="clear" w:color="auto" w:fill="FFFFFF"/>
        </w:rPr>
      </w:pPr>
      <w:r>
        <w:rPr>
          <w:rFonts w:hint="eastAsia" w:ascii="黑体" w:hAnsi="黑体" w:eastAsia="黑体" w:cs="黑体"/>
          <w:b w:val="0"/>
          <w:bCs w:val="0"/>
          <w:color w:val="333333"/>
          <w:sz w:val="32"/>
          <w:szCs w:val="32"/>
          <w:shd w:val="clear" w:color="auto" w:fill="FFFFFF"/>
        </w:rPr>
        <w:t>附件2</w:t>
      </w:r>
    </w:p>
    <w:tbl>
      <w:tblPr>
        <w:tblStyle w:val="9"/>
        <w:tblW w:w="8637" w:type="dxa"/>
        <w:tblInd w:w="0" w:type="dxa"/>
        <w:tblLayout w:type="fixed"/>
        <w:tblCellMar>
          <w:top w:w="15" w:type="dxa"/>
          <w:left w:w="15" w:type="dxa"/>
          <w:bottom w:w="15" w:type="dxa"/>
          <w:right w:w="15" w:type="dxa"/>
        </w:tblCellMar>
      </w:tblPr>
      <w:tblGrid>
        <w:gridCol w:w="824"/>
        <w:gridCol w:w="6375"/>
        <w:gridCol w:w="1438"/>
      </w:tblGrid>
      <w:tr>
        <w:tblPrEx>
          <w:tblLayout w:type="fixed"/>
          <w:tblCellMar>
            <w:top w:w="15" w:type="dxa"/>
            <w:left w:w="15" w:type="dxa"/>
            <w:bottom w:w="15" w:type="dxa"/>
            <w:right w:w="15" w:type="dxa"/>
          </w:tblCellMar>
        </w:tblPrEx>
        <w:trPr>
          <w:trHeight w:val="1005" w:hRule="atLeast"/>
        </w:trPr>
        <w:tc>
          <w:tcPr>
            <w:tcW w:w="8637" w:type="dxa"/>
            <w:gridSpan w:val="3"/>
            <w:tcBorders>
              <w:bottom w:val="single" w:color="000000" w:sz="4" w:space="0"/>
            </w:tcBorders>
            <w:shd w:val="clear" w:color="auto" w:fill="auto"/>
            <w:vAlign w:val="center"/>
          </w:tcPr>
          <w:p>
            <w:pPr>
              <w:widowControl/>
              <w:spacing w:line="600" w:lineRule="exact"/>
              <w:jc w:val="center"/>
              <w:textAlignment w:val="center"/>
              <w:rPr>
                <w:rFonts w:ascii="仿宋_GB2312" w:hAnsi="宋体" w:eastAsia="仿宋_GB2312" w:cs="宋体"/>
                <w:b/>
                <w:color w:val="000000"/>
                <w:sz w:val="36"/>
                <w:szCs w:val="36"/>
              </w:rPr>
            </w:pPr>
            <w:r>
              <w:rPr>
                <w:rFonts w:hint="eastAsia" w:asciiTheme="majorEastAsia" w:hAnsiTheme="majorEastAsia" w:eastAsiaTheme="majorEastAsia" w:cstheme="majorEastAsia"/>
                <w:b/>
                <w:color w:val="000000"/>
                <w:kern w:val="0"/>
                <w:sz w:val="44"/>
                <w:szCs w:val="44"/>
              </w:rPr>
              <w:t>涉及部分部门清产核资重点内容</w:t>
            </w:r>
          </w:p>
        </w:tc>
      </w:tr>
      <w:tr>
        <w:tblPrEx>
          <w:tblLayout w:type="fixed"/>
          <w:tblCellMar>
            <w:top w:w="15" w:type="dxa"/>
            <w:left w:w="15" w:type="dxa"/>
            <w:bottom w:w="15" w:type="dxa"/>
            <w:right w:w="15" w:type="dxa"/>
          </w:tblCellMar>
        </w:tblPrEx>
        <w:trPr>
          <w:trHeight w:val="66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行业</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主要内容</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资产类型</w:t>
            </w:r>
          </w:p>
        </w:tc>
      </w:tr>
      <w:tr>
        <w:tblPrEx>
          <w:tblLayout w:type="fixed"/>
          <w:tblCellMar>
            <w:top w:w="15" w:type="dxa"/>
            <w:left w:w="15" w:type="dxa"/>
            <w:bottom w:w="15" w:type="dxa"/>
            <w:right w:w="15" w:type="dxa"/>
          </w:tblCellMar>
        </w:tblPrEx>
        <w:trPr>
          <w:trHeight w:val="76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组织</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left"/>
              <w:textAlignment w:val="center"/>
              <w:rPr>
                <w:rStyle w:val="13"/>
                <w:rFonts w:ascii="仿宋_GB2312" w:hAnsi="仿宋" w:eastAsia="仿宋_GB2312" w:cs="仿宋"/>
                <w:sz w:val="32"/>
                <w:szCs w:val="32"/>
              </w:rPr>
            </w:pPr>
            <w:r>
              <w:rPr>
                <w:rStyle w:val="13"/>
                <w:rFonts w:hint="eastAsia" w:ascii="仿宋_GB2312" w:hAnsi="仿宋" w:eastAsia="仿宋_GB2312" w:cs="仿宋"/>
                <w:sz w:val="32"/>
                <w:szCs w:val="32"/>
              </w:rPr>
              <w:t>财政奖补资金等建设的“两室”等。</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资产</w:t>
            </w:r>
          </w:p>
        </w:tc>
      </w:tr>
      <w:tr>
        <w:tblPrEx>
          <w:tblLayout w:type="fixed"/>
          <w:tblCellMar>
            <w:top w:w="15" w:type="dxa"/>
            <w:left w:w="15" w:type="dxa"/>
            <w:bottom w:w="15" w:type="dxa"/>
            <w:right w:w="15" w:type="dxa"/>
          </w:tblCellMar>
        </w:tblPrEx>
        <w:trPr>
          <w:trHeight w:val="76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电力</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left"/>
              <w:textAlignment w:val="center"/>
              <w:rPr>
                <w:rStyle w:val="13"/>
                <w:rFonts w:ascii="仿宋_GB2312" w:hAnsi="仿宋" w:eastAsia="仿宋_GB2312" w:cs="仿宋"/>
                <w:sz w:val="32"/>
                <w:szCs w:val="32"/>
              </w:rPr>
            </w:pPr>
            <w:r>
              <w:rPr>
                <w:rStyle w:val="13"/>
                <w:rFonts w:hint="eastAsia" w:ascii="仿宋_GB2312" w:hAnsi="仿宋" w:eastAsia="仿宋_GB2312" w:cs="仿宋"/>
                <w:sz w:val="32"/>
                <w:szCs w:val="32"/>
              </w:rPr>
              <w:t>电力部门在农村建设的变压器、电杆、电线等。</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资产</w:t>
            </w:r>
          </w:p>
        </w:tc>
      </w:tr>
      <w:tr>
        <w:tblPrEx>
          <w:tblLayout w:type="fixed"/>
          <w:tblCellMar>
            <w:top w:w="15" w:type="dxa"/>
            <w:left w:w="15" w:type="dxa"/>
            <w:bottom w:w="15" w:type="dxa"/>
            <w:right w:w="15" w:type="dxa"/>
          </w:tblCellMar>
        </w:tblPrEx>
        <w:trPr>
          <w:trHeight w:val="2003"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扶贫开发</w:t>
            </w:r>
          </w:p>
        </w:tc>
        <w:tc>
          <w:tcPr>
            <w:tcW w:w="6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left"/>
              <w:textAlignment w:val="center"/>
              <w:rPr>
                <w:rStyle w:val="13"/>
                <w:rFonts w:ascii="仿宋_GB2312" w:hAnsi="仿宋" w:eastAsia="仿宋_GB2312" w:cs="仿宋"/>
                <w:sz w:val="32"/>
                <w:szCs w:val="32"/>
              </w:rPr>
            </w:pPr>
            <w:r>
              <w:rPr>
                <w:rStyle w:val="13"/>
                <w:rFonts w:hint="eastAsia" w:ascii="仿宋_GB2312" w:hAnsi="仿宋" w:eastAsia="仿宋_GB2312" w:cs="仿宋"/>
                <w:sz w:val="32"/>
                <w:szCs w:val="32"/>
              </w:rPr>
              <w:t>扶贫部门投建的道路、街道、路灯等农村基础设施和公共服务设施各类资产，开发资金形成的田间道路、水利设施等。</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资产</w:t>
            </w:r>
          </w:p>
        </w:tc>
      </w:tr>
      <w:tr>
        <w:tblPrEx>
          <w:tblLayout w:type="fixed"/>
          <w:tblCellMar>
            <w:top w:w="15" w:type="dxa"/>
            <w:left w:w="15" w:type="dxa"/>
            <w:bottom w:w="15" w:type="dxa"/>
            <w:right w:w="15" w:type="dxa"/>
          </w:tblCellMar>
        </w:tblPrEx>
        <w:trPr>
          <w:trHeight w:val="118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国土</w:t>
            </w:r>
          </w:p>
        </w:tc>
        <w:tc>
          <w:tcPr>
            <w:tcW w:w="63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left"/>
              <w:textAlignment w:val="center"/>
              <w:rPr>
                <w:rFonts w:ascii="仿宋_GB2312" w:hAnsi="仿宋" w:eastAsia="仿宋_GB2312" w:cs="仿宋"/>
                <w:color w:val="000000"/>
                <w:sz w:val="32"/>
                <w:szCs w:val="32"/>
              </w:rPr>
            </w:pPr>
            <w:r>
              <w:rPr>
                <w:rStyle w:val="14"/>
                <w:rFonts w:hint="default" w:ascii="仿宋_GB2312" w:hAnsi="仿宋" w:eastAsia="仿宋_GB2312" w:cs="仿宋"/>
                <w:sz w:val="32"/>
                <w:szCs w:val="32"/>
              </w:rPr>
              <w:t>土地所有权、建设用地使用权。包括农用地、建设用地、未利用地</w:t>
            </w:r>
            <w:r>
              <w:rPr>
                <w:rStyle w:val="13"/>
                <w:rFonts w:hint="eastAsia" w:ascii="仿宋_GB2312" w:hAnsi="仿宋" w:eastAsia="仿宋_GB2312" w:cs="仿宋"/>
                <w:sz w:val="32"/>
                <w:szCs w:val="32"/>
              </w:rPr>
              <w:t>(</w:t>
            </w:r>
            <w:r>
              <w:rPr>
                <w:rStyle w:val="14"/>
                <w:rFonts w:hint="default" w:ascii="仿宋_GB2312" w:hAnsi="仿宋" w:eastAsia="仿宋_GB2312" w:cs="仿宋"/>
                <w:sz w:val="32"/>
                <w:szCs w:val="32"/>
              </w:rPr>
              <w:t>包括由集体经济组织所有或经营的荒滩、荒沟、荒丘等</w:t>
            </w:r>
            <w:r>
              <w:rPr>
                <w:rStyle w:val="13"/>
                <w:rFonts w:hint="eastAsia" w:ascii="仿宋_GB2312" w:hAnsi="仿宋" w:eastAsia="仿宋_GB2312" w:cs="仿宋"/>
                <w:sz w:val="32"/>
                <w:szCs w:val="32"/>
              </w:rPr>
              <w:t>)</w:t>
            </w:r>
            <w:r>
              <w:rPr>
                <w:rStyle w:val="14"/>
                <w:rFonts w:hint="default" w:ascii="仿宋_GB2312" w:hAnsi="仿宋" w:eastAsia="仿宋_GB2312" w:cs="仿宋"/>
                <w:sz w:val="32"/>
                <w:szCs w:val="32"/>
              </w:rPr>
              <w:t>。</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资源</w:t>
            </w:r>
          </w:p>
        </w:tc>
      </w:tr>
      <w:tr>
        <w:tblPrEx>
          <w:tblLayout w:type="fixed"/>
          <w:tblCellMar>
            <w:top w:w="15" w:type="dxa"/>
            <w:left w:w="15" w:type="dxa"/>
            <w:bottom w:w="15" w:type="dxa"/>
            <w:right w:w="15" w:type="dxa"/>
          </w:tblCellMar>
        </w:tblPrEx>
        <w:trPr>
          <w:trHeight w:val="75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住建</w:t>
            </w:r>
          </w:p>
        </w:tc>
        <w:tc>
          <w:tcPr>
            <w:tcW w:w="63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left"/>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农村集体房屋等。</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资产</w:t>
            </w:r>
          </w:p>
        </w:tc>
      </w:tr>
      <w:tr>
        <w:tblPrEx>
          <w:tblLayout w:type="fixed"/>
          <w:tblCellMar>
            <w:top w:w="15" w:type="dxa"/>
            <w:left w:w="15" w:type="dxa"/>
            <w:bottom w:w="15" w:type="dxa"/>
            <w:right w:w="15" w:type="dxa"/>
          </w:tblCellMar>
        </w:tblPrEx>
        <w:trPr>
          <w:trHeight w:val="75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交通</w:t>
            </w:r>
          </w:p>
        </w:tc>
        <w:tc>
          <w:tcPr>
            <w:tcW w:w="63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left"/>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农村公路中的乡道和村道等。</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资产</w:t>
            </w:r>
          </w:p>
        </w:tc>
      </w:tr>
      <w:tr>
        <w:tblPrEx>
          <w:tblLayout w:type="fixed"/>
          <w:tblCellMar>
            <w:top w:w="15" w:type="dxa"/>
            <w:left w:w="15" w:type="dxa"/>
            <w:bottom w:w="15" w:type="dxa"/>
            <w:right w:w="15" w:type="dxa"/>
          </w:tblCellMar>
        </w:tblPrEx>
        <w:trPr>
          <w:trHeight w:val="172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水利</w:t>
            </w:r>
          </w:p>
        </w:tc>
        <w:tc>
          <w:tcPr>
            <w:tcW w:w="63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left"/>
              <w:textAlignment w:val="center"/>
              <w:rPr>
                <w:rFonts w:ascii="仿宋_GB2312" w:hAnsi="仿宋" w:eastAsia="仿宋_GB2312" w:cs="仿宋"/>
                <w:color w:val="000000"/>
                <w:sz w:val="32"/>
                <w:szCs w:val="32"/>
              </w:rPr>
            </w:pPr>
            <w:r>
              <w:rPr>
                <w:rStyle w:val="14"/>
                <w:rFonts w:hint="default" w:ascii="仿宋_GB2312" w:hAnsi="仿宋" w:eastAsia="仿宋_GB2312" w:cs="仿宋"/>
                <w:sz w:val="32"/>
                <w:szCs w:val="32"/>
              </w:rPr>
              <w:t>农村水利工程及农田水利设施，农村饮水安全工程、节水灌溉工程、小型灌溉排水泵站、小型渠道、机电井、其他属农村集体经济组织的小微型水利工程等。</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资产</w:t>
            </w:r>
          </w:p>
        </w:tc>
      </w:tr>
      <w:tr>
        <w:tblPrEx>
          <w:tblLayout w:type="fixed"/>
          <w:tblCellMar>
            <w:top w:w="15" w:type="dxa"/>
            <w:left w:w="15" w:type="dxa"/>
            <w:bottom w:w="15" w:type="dxa"/>
            <w:right w:w="15" w:type="dxa"/>
          </w:tblCellMar>
        </w:tblPrEx>
        <w:trPr>
          <w:trHeight w:val="86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教育</w:t>
            </w:r>
          </w:p>
        </w:tc>
        <w:tc>
          <w:tcPr>
            <w:tcW w:w="63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left"/>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农村闲置校地和校舍等。</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资产</w:t>
            </w:r>
          </w:p>
        </w:tc>
      </w:tr>
      <w:tr>
        <w:tblPrEx>
          <w:tblLayout w:type="fixed"/>
          <w:tblCellMar>
            <w:top w:w="15" w:type="dxa"/>
            <w:left w:w="15" w:type="dxa"/>
            <w:bottom w:w="15" w:type="dxa"/>
            <w:right w:w="15" w:type="dxa"/>
          </w:tblCellMar>
        </w:tblPrEx>
        <w:trPr>
          <w:trHeight w:val="680"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林业</w:t>
            </w:r>
          </w:p>
        </w:tc>
        <w:tc>
          <w:tcPr>
            <w:tcW w:w="63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left"/>
              <w:textAlignment w:val="center"/>
              <w:rPr>
                <w:rFonts w:ascii="仿宋_GB2312" w:hAnsi="仿宋" w:eastAsia="仿宋_GB2312" w:cs="仿宋"/>
                <w:color w:val="000000"/>
                <w:sz w:val="32"/>
                <w:szCs w:val="32"/>
              </w:rPr>
            </w:pPr>
            <w:r>
              <w:rPr>
                <w:rStyle w:val="13"/>
                <w:rFonts w:hint="eastAsia" w:ascii="仿宋_GB2312" w:hAnsi="仿宋" w:eastAsia="仿宋_GB2312" w:cs="仿宋"/>
                <w:sz w:val="32"/>
                <w:szCs w:val="32"/>
              </w:rPr>
              <w:t>1.林木等</w:t>
            </w:r>
            <w:r>
              <w:rPr>
                <w:rStyle w:val="14"/>
                <w:rFonts w:hint="default" w:ascii="仿宋_GB2312" w:hAnsi="仿宋" w:eastAsia="仿宋_GB2312" w:cs="仿宋"/>
                <w:sz w:val="32"/>
                <w:szCs w:val="32"/>
              </w:rPr>
              <w:t>。</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资产</w:t>
            </w:r>
          </w:p>
        </w:tc>
      </w:tr>
      <w:tr>
        <w:tblPrEx>
          <w:tblLayout w:type="fixed"/>
          <w:tblCellMar>
            <w:top w:w="15" w:type="dxa"/>
            <w:left w:w="15" w:type="dxa"/>
            <w:bottom w:w="15" w:type="dxa"/>
            <w:right w:w="15" w:type="dxa"/>
          </w:tblCellMar>
        </w:tblPrEx>
        <w:trPr>
          <w:trHeight w:val="665"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ascii="仿宋_GB2312" w:hAnsi="仿宋" w:eastAsia="仿宋_GB2312" w:cs="仿宋"/>
                <w:color w:val="000000"/>
                <w:sz w:val="32"/>
                <w:szCs w:val="32"/>
              </w:rPr>
            </w:pPr>
          </w:p>
        </w:tc>
        <w:tc>
          <w:tcPr>
            <w:tcW w:w="63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left"/>
              <w:textAlignment w:val="center"/>
              <w:rPr>
                <w:rFonts w:ascii="仿宋_GB2312" w:hAnsi="仿宋" w:eastAsia="仿宋_GB2312" w:cs="仿宋"/>
                <w:color w:val="000000"/>
                <w:sz w:val="32"/>
                <w:szCs w:val="32"/>
              </w:rPr>
            </w:pPr>
            <w:r>
              <w:rPr>
                <w:rStyle w:val="13"/>
                <w:rFonts w:hint="eastAsia" w:ascii="仿宋_GB2312" w:hAnsi="仿宋" w:eastAsia="仿宋_GB2312" w:cs="仿宋"/>
                <w:sz w:val="32"/>
                <w:szCs w:val="32"/>
              </w:rPr>
              <w:t>2.</w:t>
            </w:r>
            <w:r>
              <w:rPr>
                <w:rStyle w:val="14"/>
                <w:rFonts w:hint="default" w:ascii="仿宋_GB2312" w:hAnsi="仿宋" w:eastAsia="仿宋_GB2312" w:cs="仿宋"/>
                <w:sz w:val="32"/>
                <w:szCs w:val="32"/>
              </w:rPr>
              <w:t>林地等。</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资源</w:t>
            </w:r>
          </w:p>
        </w:tc>
      </w:tr>
      <w:tr>
        <w:tblPrEx>
          <w:tblLayout w:type="fixed"/>
          <w:tblCellMar>
            <w:top w:w="15" w:type="dxa"/>
            <w:left w:w="15" w:type="dxa"/>
            <w:bottom w:w="15" w:type="dxa"/>
            <w:right w:w="15" w:type="dxa"/>
          </w:tblCellMar>
        </w:tblPrEx>
        <w:trPr>
          <w:trHeight w:val="1308"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民政</w:t>
            </w:r>
          </w:p>
        </w:tc>
        <w:tc>
          <w:tcPr>
            <w:tcW w:w="63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left"/>
              <w:textAlignment w:val="center"/>
              <w:rPr>
                <w:rFonts w:ascii="仿宋_GB2312" w:hAnsi="仿宋" w:eastAsia="仿宋_GB2312" w:cs="仿宋"/>
                <w:color w:val="000000"/>
                <w:sz w:val="32"/>
                <w:szCs w:val="32"/>
              </w:rPr>
            </w:pPr>
            <w:r>
              <w:rPr>
                <w:rStyle w:val="14"/>
                <w:rFonts w:hint="default" w:ascii="仿宋_GB2312" w:hAnsi="仿宋" w:eastAsia="仿宋_GB2312" w:cs="仿宋"/>
                <w:sz w:val="32"/>
                <w:szCs w:val="32"/>
              </w:rPr>
              <w:t>包括农村社区养老服务站、五保家园、农村幸福院养老设施等。</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资产</w:t>
            </w:r>
          </w:p>
        </w:tc>
      </w:tr>
      <w:tr>
        <w:tblPrEx>
          <w:tblLayout w:type="fixed"/>
          <w:tblCellMar>
            <w:top w:w="15" w:type="dxa"/>
            <w:left w:w="15" w:type="dxa"/>
            <w:bottom w:w="15" w:type="dxa"/>
            <w:right w:w="15" w:type="dxa"/>
          </w:tblCellMar>
        </w:tblPrEx>
        <w:trPr>
          <w:trHeight w:val="57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卫生</w:t>
            </w:r>
          </w:p>
        </w:tc>
        <w:tc>
          <w:tcPr>
            <w:tcW w:w="63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left"/>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村卫生室，包括村卫生室房屋产权和建设用地所有权等。</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资产</w:t>
            </w:r>
          </w:p>
        </w:tc>
      </w:tr>
      <w:tr>
        <w:tblPrEx>
          <w:tblLayout w:type="fixed"/>
          <w:tblCellMar>
            <w:top w:w="15" w:type="dxa"/>
            <w:left w:w="15" w:type="dxa"/>
            <w:bottom w:w="15" w:type="dxa"/>
            <w:right w:w="15" w:type="dxa"/>
          </w:tblCellMar>
        </w:tblPrEx>
        <w:trPr>
          <w:trHeight w:val="570"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文化</w:t>
            </w:r>
          </w:p>
        </w:tc>
        <w:tc>
          <w:tcPr>
            <w:tcW w:w="63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left"/>
              <w:textAlignment w:val="center"/>
              <w:rPr>
                <w:rFonts w:ascii="仿宋_GB2312" w:hAnsi="仿宋" w:eastAsia="仿宋_GB2312" w:cs="仿宋"/>
                <w:color w:val="000000"/>
                <w:sz w:val="32"/>
                <w:szCs w:val="32"/>
              </w:rPr>
            </w:pPr>
            <w:r>
              <w:rPr>
                <w:rStyle w:val="13"/>
                <w:rFonts w:hint="eastAsia" w:ascii="仿宋_GB2312" w:hAnsi="仿宋" w:eastAsia="仿宋_GB2312" w:cs="仿宋"/>
                <w:sz w:val="32"/>
                <w:szCs w:val="32"/>
              </w:rPr>
              <w:t>1.</w:t>
            </w:r>
            <w:r>
              <w:rPr>
                <w:rStyle w:val="14"/>
                <w:rFonts w:hint="default" w:ascii="仿宋_GB2312" w:hAnsi="仿宋" w:eastAsia="仿宋_GB2312" w:cs="仿宋"/>
                <w:sz w:val="32"/>
                <w:szCs w:val="32"/>
              </w:rPr>
              <w:t>村文化室</w:t>
            </w:r>
            <w:r>
              <w:rPr>
                <w:rStyle w:val="13"/>
                <w:rFonts w:hint="eastAsia" w:ascii="仿宋_GB2312" w:hAnsi="仿宋" w:eastAsia="仿宋_GB2312" w:cs="仿宋"/>
                <w:sz w:val="32"/>
                <w:szCs w:val="32"/>
              </w:rPr>
              <w:t>(</w:t>
            </w:r>
            <w:r>
              <w:rPr>
                <w:rStyle w:val="14"/>
                <w:rFonts w:hint="default" w:ascii="仿宋_GB2312" w:hAnsi="仿宋" w:eastAsia="仿宋_GB2312" w:cs="仿宋"/>
                <w:sz w:val="32"/>
                <w:szCs w:val="32"/>
              </w:rPr>
              <w:t>村文化服务中心</w:t>
            </w:r>
            <w:r>
              <w:rPr>
                <w:rStyle w:val="13"/>
                <w:rFonts w:hint="eastAsia" w:ascii="仿宋_GB2312" w:hAnsi="仿宋" w:eastAsia="仿宋_GB2312" w:cs="仿宋"/>
                <w:sz w:val="32"/>
                <w:szCs w:val="32"/>
              </w:rPr>
              <w:t>)</w:t>
            </w:r>
            <w:r>
              <w:rPr>
                <w:rStyle w:val="14"/>
                <w:rFonts w:hint="default" w:ascii="仿宋_GB2312" w:hAnsi="仿宋" w:eastAsia="仿宋_GB2312" w:cs="仿宋"/>
                <w:sz w:val="32"/>
                <w:szCs w:val="32"/>
              </w:rPr>
              <w:t>、文化共享工程村级服务点、文化广场等。</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资产</w:t>
            </w:r>
          </w:p>
        </w:tc>
      </w:tr>
      <w:tr>
        <w:tblPrEx>
          <w:tblLayout w:type="fixed"/>
          <w:tblCellMar>
            <w:top w:w="15" w:type="dxa"/>
            <w:left w:w="15" w:type="dxa"/>
            <w:bottom w:w="15" w:type="dxa"/>
            <w:right w:w="15" w:type="dxa"/>
          </w:tblCellMar>
        </w:tblPrEx>
        <w:trPr>
          <w:trHeight w:val="57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ascii="仿宋_GB2312" w:hAnsi="仿宋" w:eastAsia="仿宋_GB2312" w:cs="仿宋"/>
                <w:color w:val="000000"/>
                <w:sz w:val="32"/>
                <w:szCs w:val="32"/>
              </w:rPr>
            </w:pPr>
          </w:p>
        </w:tc>
        <w:tc>
          <w:tcPr>
            <w:tcW w:w="63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left"/>
              <w:textAlignment w:val="center"/>
              <w:rPr>
                <w:rFonts w:ascii="仿宋_GB2312" w:hAnsi="仿宋" w:eastAsia="仿宋_GB2312" w:cs="仿宋"/>
                <w:color w:val="000000"/>
                <w:sz w:val="32"/>
                <w:szCs w:val="32"/>
              </w:rPr>
            </w:pPr>
            <w:r>
              <w:rPr>
                <w:rStyle w:val="13"/>
                <w:rFonts w:hint="eastAsia" w:ascii="仿宋_GB2312" w:hAnsi="仿宋" w:eastAsia="仿宋_GB2312" w:cs="仿宋"/>
                <w:sz w:val="32"/>
                <w:szCs w:val="32"/>
              </w:rPr>
              <w:t>2.</w:t>
            </w:r>
            <w:r>
              <w:rPr>
                <w:rStyle w:val="14"/>
                <w:rFonts w:hint="default" w:ascii="仿宋_GB2312" w:hAnsi="仿宋" w:eastAsia="仿宋_GB2312" w:cs="仿宋"/>
                <w:sz w:val="32"/>
                <w:szCs w:val="32"/>
              </w:rPr>
              <w:t>农家书屋。</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资产</w:t>
            </w:r>
          </w:p>
        </w:tc>
      </w:tr>
      <w:tr>
        <w:tblPrEx>
          <w:tblLayout w:type="fixed"/>
          <w:tblCellMar>
            <w:top w:w="15" w:type="dxa"/>
            <w:left w:w="15" w:type="dxa"/>
            <w:bottom w:w="15" w:type="dxa"/>
            <w:right w:w="15" w:type="dxa"/>
          </w:tblCellMar>
        </w:tblPrEx>
        <w:trPr>
          <w:trHeight w:val="765"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农经局</w:t>
            </w:r>
          </w:p>
        </w:tc>
        <w:tc>
          <w:tcPr>
            <w:tcW w:w="63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left"/>
              <w:textAlignment w:val="center"/>
              <w:rPr>
                <w:rFonts w:ascii="仿宋_GB2312" w:hAnsi="仿宋" w:eastAsia="仿宋_GB2312" w:cs="仿宋"/>
                <w:color w:val="000000"/>
                <w:sz w:val="32"/>
                <w:szCs w:val="32"/>
              </w:rPr>
            </w:pPr>
            <w:r>
              <w:rPr>
                <w:rStyle w:val="13"/>
                <w:rFonts w:hint="eastAsia" w:ascii="仿宋_GB2312" w:hAnsi="仿宋" w:eastAsia="仿宋_GB2312" w:cs="仿宋"/>
                <w:sz w:val="32"/>
                <w:szCs w:val="32"/>
              </w:rPr>
              <w:t>1.</w:t>
            </w:r>
            <w:r>
              <w:rPr>
                <w:rStyle w:val="14"/>
                <w:rFonts w:hint="default" w:ascii="仿宋_GB2312" w:hAnsi="仿宋" w:eastAsia="仿宋_GB2312" w:cs="仿宋"/>
                <w:sz w:val="32"/>
                <w:szCs w:val="32"/>
              </w:rPr>
              <w:t>已入账的资金、资产和未入账的经营收益。</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资金资产</w:t>
            </w:r>
          </w:p>
        </w:tc>
      </w:tr>
      <w:tr>
        <w:tblPrEx>
          <w:tblLayout w:type="fixed"/>
          <w:tblCellMar>
            <w:top w:w="15" w:type="dxa"/>
            <w:left w:w="15" w:type="dxa"/>
            <w:bottom w:w="15" w:type="dxa"/>
            <w:right w:w="15" w:type="dxa"/>
          </w:tblCellMar>
        </w:tblPrEx>
        <w:trPr>
          <w:trHeight w:val="57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ascii="仿宋_GB2312" w:hAnsi="仿宋" w:eastAsia="仿宋_GB2312" w:cs="仿宋"/>
                <w:color w:val="000000"/>
                <w:sz w:val="32"/>
                <w:szCs w:val="32"/>
              </w:rPr>
            </w:pPr>
          </w:p>
        </w:tc>
        <w:tc>
          <w:tcPr>
            <w:tcW w:w="63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left"/>
              <w:textAlignment w:val="center"/>
              <w:rPr>
                <w:rFonts w:ascii="仿宋_GB2312" w:hAnsi="仿宋" w:eastAsia="仿宋_GB2312" w:cs="仿宋"/>
                <w:color w:val="000000"/>
                <w:sz w:val="32"/>
                <w:szCs w:val="32"/>
              </w:rPr>
            </w:pPr>
            <w:r>
              <w:rPr>
                <w:rStyle w:val="13"/>
                <w:rFonts w:hint="eastAsia" w:ascii="仿宋_GB2312" w:hAnsi="仿宋" w:eastAsia="仿宋_GB2312" w:cs="仿宋"/>
                <w:sz w:val="32"/>
                <w:szCs w:val="32"/>
              </w:rPr>
              <w:t>2.</w:t>
            </w:r>
            <w:r>
              <w:rPr>
                <w:rStyle w:val="14"/>
                <w:rFonts w:hint="default" w:ascii="仿宋_GB2312" w:hAnsi="仿宋" w:eastAsia="仿宋_GB2312" w:cs="仿宋"/>
                <w:sz w:val="32"/>
                <w:szCs w:val="32"/>
              </w:rPr>
              <w:t>未入账的经营性资产。</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资产</w:t>
            </w:r>
          </w:p>
        </w:tc>
      </w:tr>
      <w:tr>
        <w:tblPrEx>
          <w:tblLayout w:type="fixed"/>
          <w:tblCellMar>
            <w:top w:w="15" w:type="dxa"/>
            <w:left w:w="15" w:type="dxa"/>
            <w:bottom w:w="15" w:type="dxa"/>
            <w:right w:w="15" w:type="dxa"/>
          </w:tblCellMar>
        </w:tblPrEx>
        <w:trPr>
          <w:trHeight w:val="570"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ascii="仿宋_GB2312" w:hAnsi="仿宋" w:eastAsia="仿宋_GB2312" w:cs="仿宋"/>
                <w:color w:val="000000"/>
                <w:sz w:val="32"/>
                <w:szCs w:val="32"/>
              </w:rPr>
            </w:pPr>
          </w:p>
        </w:tc>
        <w:tc>
          <w:tcPr>
            <w:tcW w:w="63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left"/>
              <w:textAlignment w:val="center"/>
              <w:rPr>
                <w:rFonts w:ascii="仿宋_GB2312" w:hAnsi="仿宋" w:eastAsia="仿宋_GB2312" w:cs="仿宋"/>
                <w:color w:val="000000"/>
                <w:sz w:val="32"/>
                <w:szCs w:val="32"/>
              </w:rPr>
            </w:pPr>
            <w:r>
              <w:rPr>
                <w:rStyle w:val="13"/>
                <w:rFonts w:hint="eastAsia" w:ascii="仿宋_GB2312" w:hAnsi="仿宋" w:eastAsia="仿宋_GB2312" w:cs="仿宋"/>
                <w:sz w:val="32"/>
                <w:szCs w:val="32"/>
              </w:rPr>
              <w:t>3.</w:t>
            </w:r>
            <w:r>
              <w:rPr>
                <w:rStyle w:val="14"/>
                <w:rFonts w:hint="default" w:ascii="仿宋_GB2312" w:hAnsi="仿宋" w:eastAsia="仿宋_GB2312" w:cs="仿宋"/>
                <w:sz w:val="32"/>
                <w:szCs w:val="32"/>
              </w:rPr>
              <w:t>农村承包耕地及机动地等。</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资源</w:t>
            </w:r>
          </w:p>
        </w:tc>
      </w:tr>
      <w:tr>
        <w:tblPrEx>
          <w:tblLayout w:type="fixed"/>
          <w:tblCellMar>
            <w:top w:w="15" w:type="dxa"/>
            <w:left w:w="15" w:type="dxa"/>
            <w:bottom w:w="15" w:type="dxa"/>
            <w:right w:w="15" w:type="dxa"/>
          </w:tblCellMar>
        </w:tblPrEx>
        <w:trPr>
          <w:trHeight w:val="57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农牧</w:t>
            </w:r>
          </w:p>
        </w:tc>
        <w:tc>
          <w:tcPr>
            <w:tcW w:w="63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left"/>
              <w:textAlignment w:val="center"/>
              <w:rPr>
                <w:rStyle w:val="13"/>
                <w:rFonts w:ascii="仿宋_GB2312" w:hAnsi="仿宋" w:eastAsia="仿宋_GB2312" w:cs="仿宋"/>
                <w:sz w:val="32"/>
                <w:szCs w:val="32"/>
              </w:rPr>
            </w:pPr>
            <w:r>
              <w:rPr>
                <w:rStyle w:val="13"/>
                <w:rFonts w:hint="eastAsia" w:ascii="仿宋_GB2312" w:hAnsi="仿宋" w:eastAsia="仿宋_GB2312" w:cs="仿宋"/>
                <w:sz w:val="32"/>
                <w:szCs w:val="32"/>
              </w:rPr>
              <w:t>投入到乡(镇)、村的农业设施、设备等</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资产</w:t>
            </w:r>
          </w:p>
        </w:tc>
      </w:tr>
      <w:tr>
        <w:tblPrEx>
          <w:tblLayout w:type="fixed"/>
          <w:tblCellMar>
            <w:top w:w="15" w:type="dxa"/>
            <w:left w:w="15" w:type="dxa"/>
            <w:bottom w:w="15" w:type="dxa"/>
            <w:right w:w="15" w:type="dxa"/>
          </w:tblCellMar>
        </w:tblPrEx>
        <w:trPr>
          <w:trHeight w:val="57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蔬菜</w:t>
            </w:r>
          </w:p>
        </w:tc>
        <w:tc>
          <w:tcPr>
            <w:tcW w:w="6375" w:type="dxa"/>
            <w:tcBorders>
              <w:top w:val="single" w:color="000000" w:sz="4" w:space="0"/>
              <w:left w:val="single" w:color="000000" w:sz="4" w:space="0"/>
              <w:bottom w:val="single" w:color="000000" w:sz="4" w:space="0"/>
            </w:tcBorders>
            <w:shd w:val="clear" w:color="auto" w:fill="auto"/>
            <w:vAlign w:val="center"/>
          </w:tcPr>
          <w:p>
            <w:pPr>
              <w:widowControl/>
              <w:spacing w:line="600" w:lineRule="exact"/>
              <w:jc w:val="left"/>
              <w:textAlignment w:val="center"/>
              <w:rPr>
                <w:rStyle w:val="13"/>
                <w:rFonts w:ascii="仿宋_GB2312" w:hAnsi="仿宋" w:eastAsia="仿宋_GB2312" w:cs="仿宋"/>
                <w:sz w:val="32"/>
                <w:szCs w:val="32"/>
              </w:rPr>
            </w:pPr>
            <w:r>
              <w:rPr>
                <w:rStyle w:val="13"/>
                <w:rFonts w:hint="eastAsia" w:ascii="仿宋_GB2312" w:hAnsi="仿宋" w:eastAsia="仿宋_GB2312" w:cs="仿宋"/>
                <w:sz w:val="32"/>
                <w:szCs w:val="32"/>
              </w:rPr>
              <w:t>投入到乡（镇）、村的蔬菜设施、设备等</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600" w:lineRule="exact"/>
              <w:jc w:val="center"/>
              <w:textAlignment w:val="center"/>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资产</w:t>
            </w:r>
          </w:p>
        </w:tc>
      </w:tr>
    </w:tbl>
    <w:p>
      <w:pPr>
        <w:spacing w:line="600" w:lineRule="exact"/>
        <w:jc w:val="center"/>
        <w:rPr>
          <w:rFonts w:hint="eastAsia" w:ascii="仿宋_GB2312" w:hAnsi="仿宋_GB2312" w:eastAsia="仿宋_GB2312" w:cs="仿宋_GB2312"/>
          <w:color w:val="333333"/>
          <w:kern w:val="0"/>
          <w:sz w:val="32"/>
          <w:szCs w:val="32"/>
          <w:shd w:val="clear" w:color="auto" w:fill="FFFFFF"/>
        </w:rPr>
      </w:pPr>
    </w:p>
    <w:p>
      <w:pPr>
        <w:spacing w:line="600" w:lineRule="exact"/>
        <w:jc w:val="center"/>
        <w:rPr>
          <w:rFonts w:hint="eastAsia" w:ascii="仿宋_GB2312" w:hAnsi="仿宋_GB2312" w:eastAsia="仿宋_GB2312" w:cs="仿宋_GB2312"/>
          <w:color w:val="333333"/>
          <w:kern w:val="0"/>
          <w:sz w:val="32"/>
          <w:szCs w:val="32"/>
          <w:shd w:val="clear" w:color="auto" w:fill="FFFFFF"/>
        </w:rPr>
      </w:pPr>
    </w:p>
    <w:p>
      <w:pPr>
        <w:spacing w:line="600" w:lineRule="exact"/>
        <w:jc w:val="center"/>
        <w:rPr>
          <w:rFonts w:hint="eastAsia" w:ascii="仿宋_GB2312" w:hAnsi="仿宋_GB2312" w:eastAsia="仿宋_GB2312" w:cs="仿宋_GB2312"/>
          <w:color w:val="333333"/>
          <w:kern w:val="0"/>
          <w:sz w:val="32"/>
          <w:szCs w:val="32"/>
          <w:shd w:val="clear" w:color="auto" w:fill="FFFFFF"/>
        </w:rPr>
      </w:pPr>
    </w:p>
    <w:p>
      <w:pPr>
        <w:spacing w:line="600" w:lineRule="exact"/>
        <w:jc w:val="center"/>
        <w:rPr>
          <w:rFonts w:hint="eastAsia" w:ascii="仿宋_GB2312" w:hAnsi="仿宋_GB2312" w:eastAsia="仿宋_GB2312" w:cs="仿宋_GB2312"/>
          <w:color w:val="333333"/>
          <w:kern w:val="0"/>
          <w:sz w:val="32"/>
          <w:szCs w:val="32"/>
          <w:shd w:val="clear" w:color="auto" w:fill="FFFFFF"/>
        </w:rPr>
      </w:pPr>
    </w:p>
    <w:p>
      <w:pPr>
        <w:spacing w:line="600" w:lineRule="exact"/>
        <w:jc w:val="center"/>
        <w:rPr>
          <w:rFonts w:hint="eastAsia" w:ascii="仿宋_GB2312" w:hAnsi="仿宋_GB2312" w:eastAsia="仿宋_GB2312" w:cs="仿宋_GB2312"/>
          <w:color w:val="333333"/>
          <w:kern w:val="0"/>
          <w:sz w:val="32"/>
          <w:szCs w:val="32"/>
          <w:shd w:val="clear" w:color="auto" w:fill="FFFFFF"/>
        </w:rPr>
      </w:pPr>
    </w:p>
    <w:p>
      <w:pPr>
        <w:spacing w:line="600" w:lineRule="exact"/>
        <w:jc w:val="center"/>
        <w:rPr>
          <w:rFonts w:hint="eastAsia" w:ascii="仿宋_GB2312" w:hAnsi="仿宋_GB2312" w:eastAsia="仿宋_GB2312" w:cs="仿宋_GB2312"/>
          <w:color w:val="333333"/>
          <w:kern w:val="0"/>
          <w:sz w:val="32"/>
          <w:szCs w:val="32"/>
          <w:shd w:val="clear" w:color="auto" w:fill="FFFFFF"/>
        </w:rPr>
      </w:pPr>
    </w:p>
    <w:p>
      <w:pPr>
        <w:spacing w:line="600" w:lineRule="exact"/>
        <w:jc w:val="center"/>
        <w:rPr>
          <w:rFonts w:hint="eastAsia" w:ascii="仿宋_GB2312" w:hAnsi="仿宋_GB2312" w:eastAsia="仿宋_GB2312" w:cs="仿宋_GB2312"/>
          <w:color w:val="333333"/>
          <w:kern w:val="0"/>
          <w:sz w:val="32"/>
          <w:szCs w:val="32"/>
          <w:shd w:val="clear" w:color="auto" w:fill="FFFFFF"/>
        </w:rPr>
      </w:pPr>
    </w:p>
    <w:p>
      <w:pPr>
        <w:spacing w:line="600" w:lineRule="exact"/>
        <w:jc w:val="center"/>
        <w:rPr>
          <w:rFonts w:hint="eastAsia" w:ascii="仿宋_GB2312" w:hAnsi="仿宋_GB2312" w:eastAsia="仿宋_GB2312" w:cs="仿宋_GB2312"/>
          <w:color w:val="333333"/>
          <w:kern w:val="0"/>
          <w:sz w:val="32"/>
          <w:szCs w:val="32"/>
          <w:shd w:val="clear" w:color="auto" w:fill="FFFFFF"/>
        </w:rPr>
      </w:pPr>
    </w:p>
    <w:p>
      <w:pPr>
        <w:pStyle w:val="6"/>
        <w:widowControl/>
        <w:spacing w:beforeAutospacing="0" w:afterAutospacing="0" w:line="480" w:lineRule="atLeast"/>
        <w:ind w:firstLine="1767" w:firstLineChars="400"/>
        <w:rPr>
          <w:rFonts w:hint="eastAsia" w:ascii="新宋体" w:hAnsi="新宋体" w:eastAsia="新宋体" w:cs="新宋体"/>
          <w:b/>
          <w:bCs/>
          <w:sz w:val="44"/>
          <w:szCs w:val="44"/>
        </w:rPr>
      </w:pPr>
    </w:p>
    <w:p>
      <w:pPr>
        <w:pStyle w:val="6"/>
        <w:widowControl/>
        <w:spacing w:beforeAutospacing="0" w:afterAutospacing="0" w:line="480" w:lineRule="atLeast"/>
        <w:ind w:firstLine="1767" w:firstLineChars="400"/>
        <w:rPr>
          <w:rFonts w:ascii="仿宋" w:hAnsi="仿宋" w:eastAsia="仿宋" w:cs="仿宋"/>
          <w:b/>
          <w:color w:val="000000"/>
          <w:sz w:val="32"/>
          <w:szCs w:val="32"/>
          <w:shd w:val="clear" w:color="auto" w:fill="FFFFFF"/>
        </w:rPr>
      </w:pPr>
      <w:r>
        <w:rPr>
          <w:rFonts w:hint="eastAsia" w:ascii="新宋体" w:hAnsi="新宋体" w:eastAsia="新宋体" w:cs="新宋体"/>
          <w:b/>
          <w:bCs/>
          <w:sz w:val="44"/>
          <w:szCs w:val="44"/>
        </w:rPr>
        <w:t xml:space="preserve"> </w:t>
      </w:r>
    </w:p>
    <w:p>
      <w:pPr>
        <w:spacing w:line="1620" w:lineRule="exact"/>
        <w:jc w:val="center"/>
        <w:rPr>
          <w:rFonts w:hint="eastAsia" w:ascii="方正小标宋简体" w:hAnsi="宋体" w:eastAsia="方正小标宋简体" w:cs="Times New Roman"/>
          <w:b/>
          <w:bCs/>
          <w:color w:val="FF0000"/>
          <w:spacing w:val="23"/>
          <w:w w:val="46"/>
          <w:sz w:val="80"/>
          <w:szCs w:val="80"/>
          <w:lang w:eastAsia="zh-CN"/>
        </w:rPr>
      </w:pPr>
      <w:r>
        <w:rPr>
          <w:rFonts w:hint="eastAsia" w:ascii="方正小标宋简体" w:hAnsi="宋体" w:eastAsia="方正小标宋简体" w:cs="Times New Roman"/>
          <w:b/>
          <w:bCs/>
          <w:color w:val="FF0000"/>
          <w:spacing w:val="23"/>
          <w:w w:val="46"/>
          <w:sz w:val="80"/>
          <w:szCs w:val="80"/>
          <w:lang w:eastAsia="zh-CN"/>
        </w:rPr>
        <w:t>馆陶县农村集体产权制度改革领导小组文件</w:t>
      </w:r>
    </w:p>
    <w:p>
      <w:pPr>
        <w:spacing w:line="560" w:lineRule="exact"/>
        <w:jc w:val="center"/>
        <w:rPr>
          <w:rFonts w:hint="eastAsia" w:ascii="创艺简粗黑" w:hAnsi="创艺简粗黑" w:eastAsia="创艺简粗黑" w:cs="创艺简粗黑"/>
          <w:b/>
          <w:bCs/>
          <w:color w:val="FF0000"/>
          <w:w w:val="80"/>
          <w:kern w:val="16"/>
          <w:sz w:val="56"/>
          <w:szCs w:val="56"/>
        </w:rPr>
      </w:pPr>
    </w:p>
    <w:p>
      <w:pPr>
        <w:spacing w:line="560" w:lineRule="exact"/>
        <w:jc w:val="center"/>
        <w:rPr>
          <w:rFonts w:hint="eastAsia" w:ascii="方正小标宋简体" w:hAnsi="方正小标宋简体" w:eastAsia="方正小标宋简体" w:cs="方正小标宋简体"/>
          <w:b/>
          <w:bCs/>
          <w:w w:val="108"/>
          <w:sz w:val="60"/>
          <w:szCs w:val="60"/>
        </w:rPr>
      </w:pPr>
    </w:p>
    <w:p>
      <w:pPr>
        <w:spacing w:line="560" w:lineRule="exact"/>
        <w:jc w:val="center"/>
        <w:rPr>
          <w:rFonts w:hint="eastAsia" w:ascii="方正小标宋简体" w:hAnsi="方正小标宋简体" w:eastAsia="方正小标宋简体" w:cs="方正小标宋简体"/>
          <w:b/>
          <w:bCs/>
          <w:w w:val="108"/>
          <w:sz w:val="44"/>
          <w:szCs w:val="44"/>
        </w:rPr>
      </w:pPr>
    </w:p>
    <w:p>
      <w:pPr>
        <w:spacing w:line="560" w:lineRule="exact"/>
        <w:jc w:val="center"/>
        <w:rPr>
          <w:rFonts w:hint="eastAsia" w:ascii="仿宋_GB2312" w:hAnsi="仿宋_GB2312" w:eastAsia="仿宋_GB2312" w:cs="仿宋_GB2312"/>
          <w:b/>
          <w:bCs/>
          <w:i w:val="0"/>
          <w:iCs w:val="0"/>
          <w:sz w:val="32"/>
          <w:szCs w:val="32"/>
          <w:u w:val="none"/>
        </w:rPr>
      </w:pPr>
      <w:r>
        <w:rPr>
          <w:rFonts w:hint="eastAsia" w:ascii="仿宋_GB2312" w:hAnsi="仿宋_GB2312" w:eastAsia="仿宋_GB2312" w:cs="仿宋_GB2312"/>
          <w:b/>
          <w:bCs/>
          <w:i w:val="0"/>
          <w:iCs w:val="0"/>
          <w:sz w:val="32"/>
          <w:szCs w:val="32"/>
          <w:u w:val="none"/>
        </w:rPr>
        <w:t>馆农改〔201</w:t>
      </w:r>
      <w:r>
        <w:rPr>
          <w:rFonts w:hint="eastAsia" w:ascii="仿宋_GB2312" w:hAnsi="仿宋_GB2312" w:eastAsia="仿宋_GB2312" w:cs="仿宋_GB2312"/>
          <w:b/>
          <w:bCs/>
          <w:i w:val="0"/>
          <w:iCs w:val="0"/>
          <w:sz w:val="32"/>
          <w:szCs w:val="32"/>
          <w:u w:val="none"/>
          <w:lang w:val="en-US" w:eastAsia="zh-CN"/>
        </w:rPr>
        <w:t>7</w:t>
      </w:r>
      <w:r>
        <w:rPr>
          <w:rFonts w:hint="eastAsia" w:ascii="仿宋_GB2312" w:hAnsi="仿宋_GB2312" w:eastAsia="仿宋_GB2312" w:cs="仿宋_GB2312"/>
          <w:b/>
          <w:bCs/>
          <w:i w:val="0"/>
          <w:iCs w:val="0"/>
          <w:sz w:val="32"/>
          <w:szCs w:val="32"/>
          <w:u w:val="none"/>
        </w:rPr>
        <w:t>〕</w:t>
      </w:r>
      <w:r>
        <w:rPr>
          <w:rFonts w:hint="eastAsia" w:ascii="仿宋_GB2312" w:hAnsi="仿宋_GB2312" w:eastAsia="仿宋_GB2312" w:cs="仿宋_GB2312"/>
          <w:b/>
          <w:bCs/>
          <w:i w:val="0"/>
          <w:iCs w:val="0"/>
          <w:sz w:val="32"/>
          <w:szCs w:val="32"/>
          <w:u w:val="none"/>
          <w:lang w:val="en-US" w:eastAsia="zh-CN"/>
        </w:rPr>
        <w:t>5</w:t>
      </w:r>
      <w:r>
        <w:rPr>
          <w:rFonts w:hint="eastAsia" w:ascii="仿宋_GB2312" w:hAnsi="仿宋_GB2312" w:eastAsia="仿宋_GB2312" w:cs="仿宋_GB2312"/>
          <w:b/>
          <w:bCs/>
          <w:i w:val="0"/>
          <w:iCs w:val="0"/>
          <w:sz w:val="32"/>
          <w:szCs w:val="32"/>
          <w:u w:val="none"/>
        </w:rPr>
        <w:t>号</w:t>
      </w:r>
    </w:p>
    <w:p>
      <w:pPr>
        <w:spacing w:line="560" w:lineRule="exact"/>
        <w:jc w:val="center"/>
        <w:rPr>
          <w:rFonts w:hint="eastAsia" w:ascii="方正小标宋简体" w:hAnsi="方正小标宋简体" w:eastAsia="方正小标宋简体" w:cs="方正小标宋简体"/>
          <w:bCs/>
          <w:w w:val="108"/>
          <w:sz w:val="44"/>
          <w:szCs w:val="44"/>
          <w:lang w:eastAsia="zh-CN"/>
        </w:rPr>
      </w:pPr>
      <w:r>
        <w:rPr>
          <w:rFonts w:hint="eastAsia" w:ascii="方正小标宋简体" w:hAnsi="方正小标宋简体" w:eastAsia="方正小标宋简体" w:cs="方正小标宋简体"/>
          <w:bCs/>
          <w:w w:val="108"/>
          <w:sz w:val="44"/>
          <w:szCs w:val="44"/>
          <w:lang w:eastAsia="zh-CN"/>
        </w:rPr>
        <w:t>—————————————————</w:t>
      </w:r>
    </w:p>
    <w:p>
      <w:pPr>
        <w:spacing w:line="600" w:lineRule="exact"/>
        <w:jc w:val="center"/>
        <w:rPr>
          <w:rFonts w:hint="eastAsia" w:ascii="方正小标宋简体" w:hAnsi="新宋体" w:eastAsia="方正小标宋简体"/>
          <w:b/>
          <w:sz w:val="44"/>
          <w:szCs w:val="44"/>
        </w:rPr>
      </w:pPr>
    </w:p>
    <w:p>
      <w:pPr>
        <w:spacing w:line="600" w:lineRule="exact"/>
        <w:jc w:val="center"/>
        <w:rPr>
          <w:rFonts w:ascii="方正小标宋简体" w:hAnsi="新宋体" w:eastAsia="方正小标宋简体"/>
          <w:b/>
          <w:sz w:val="44"/>
          <w:szCs w:val="44"/>
        </w:rPr>
      </w:pPr>
      <w:r>
        <w:rPr>
          <w:rFonts w:hint="eastAsia" w:ascii="方正小标宋简体" w:hAnsi="新宋体" w:eastAsia="方正小标宋简体"/>
          <w:b/>
          <w:sz w:val="44"/>
          <w:szCs w:val="44"/>
        </w:rPr>
        <w:t>馆陶县农村集体产权制度改革领导小组</w:t>
      </w:r>
    </w:p>
    <w:p>
      <w:pPr>
        <w:pStyle w:val="6"/>
        <w:widowControl/>
        <w:spacing w:beforeAutospacing="0" w:afterAutospacing="0" w:line="600" w:lineRule="exact"/>
        <w:jc w:val="center"/>
        <w:rPr>
          <w:rFonts w:hint="eastAsia" w:ascii="方正小标宋简体" w:eastAsia="方正小标宋简体" w:hAnsiTheme="majorEastAsia" w:cstheme="majorEastAsia"/>
          <w:b/>
          <w:color w:val="000000"/>
          <w:sz w:val="44"/>
          <w:szCs w:val="44"/>
          <w:shd w:val="clear" w:color="auto" w:fill="FFFFFF"/>
        </w:rPr>
      </w:pPr>
      <w:r>
        <w:rPr>
          <w:rFonts w:hint="eastAsia" w:ascii="方正小标宋简体" w:hAnsi="新宋体" w:eastAsia="方正小标宋简体"/>
          <w:b/>
          <w:sz w:val="44"/>
          <w:szCs w:val="44"/>
        </w:rPr>
        <w:t>关于印发《</w:t>
      </w:r>
      <w:r>
        <w:rPr>
          <w:rFonts w:hint="eastAsia" w:ascii="方正小标宋简体" w:eastAsia="方正小标宋简体" w:hAnsiTheme="majorEastAsia" w:cstheme="majorEastAsia"/>
          <w:b/>
          <w:color w:val="000000"/>
          <w:sz w:val="44"/>
          <w:szCs w:val="44"/>
          <w:shd w:val="clear" w:color="auto" w:fill="FFFFFF"/>
        </w:rPr>
        <w:t>农村集体资产清产核资办法》</w:t>
      </w:r>
    </w:p>
    <w:p>
      <w:pPr>
        <w:pStyle w:val="6"/>
        <w:widowControl/>
        <w:spacing w:beforeAutospacing="0" w:afterAutospacing="0" w:line="600" w:lineRule="exact"/>
        <w:jc w:val="center"/>
        <w:rPr>
          <w:rFonts w:ascii="方正小标宋简体" w:eastAsia="方正小标宋简体" w:hAnsiTheme="majorEastAsia" w:cstheme="majorEastAsia"/>
          <w:b/>
          <w:color w:val="000000"/>
          <w:sz w:val="44"/>
          <w:szCs w:val="44"/>
          <w:shd w:val="clear" w:color="auto" w:fill="FFFFFF"/>
        </w:rPr>
      </w:pPr>
      <w:r>
        <w:rPr>
          <w:rFonts w:hint="eastAsia" w:ascii="方正小标宋简体" w:eastAsia="方正小标宋简体" w:hAnsiTheme="majorEastAsia" w:cstheme="majorEastAsia"/>
          <w:b/>
          <w:color w:val="000000"/>
          <w:sz w:val="44"/>
          <w:szCs w:val="44"/>
          <w:shd w:val="clear" w:color="auto" w:fill="FFFFFF"/>
        </w:rPr>
        <w:t>的通知</w:t>
      </w:r>
    </w:p>
    <w:p>
      <w:pPr>
        <w:pStyle w:val="6"/>
        <w:widowControl/>
        <w:spacing w:beforeAutospacing="0" w:afterAutospacing="0" w:line="480" w:lineRule="atLeast"/>
        <w:rPr>
          <w:rFonts w:ascii="仿宋" w:hAnsi="仿宋" w:eastAsia="仿宋" w:cs="仿宋"/>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各乡镇党委，县直各部门，县直各单位党委（党组）、党支、支部，经济开发区党工委：</w:t>
      </w:r>
    </w:p>
    <w:p>
      <w:pPr>
        <w:pStyle w:val="6"/>
        <w:widowControl/>
        <w:spacing w:beforeAutospacing="0" w:afterAutospacing="0" w:line="600" w:lineRule="exact"/>
        <w:ind w:firstLine="645"/>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现将《农村集体资产清产核资办法》印发给你们，请认真参照执行。</w:t>
      </w:r>
    </w:p>
    <w:p>
      <w:pPr>
        <w:spacing w:line="60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spacing w:line="60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馆陶县农村集体产权制度改革领导小组</w:t>
      </w:r>
    </w:p>
    <w:p>
      <w:pPr>
        <w:pStyle w:val="6"/>
        <w:widowControl/>
        <w:spacing w:beforeAutospacing="0" w:afterAutospacing="0" w:line="600" w:lineRule="exact"/>
        <w:ind w:firstLine="645"/>
        <w:rPr>
          <w:rFonts w:asciiTheme="majorEastAsia" w:hAnsiTheme="majorEastAsia" w:eastAsiaTheme="majorEastAsia" w:cstheme="majorEastAsia"/>
          <w:b/>
          <w:bCs/>
          <w:sz w:val="44"/>
          <w:szCs w:val="44"/>
        </w:rPr>
      </w:pPr>
      <w:r>
        <w:rPr>
          <w:rFonts w:hint="eastAsia" w:ascii="仿宋_GB2312" w:hAnsi="仿宋_GB2312" w:eastAsia="仿宋_GB2312" w:cs="仿宋_GB2312"/>
          <w:kern w:val="2"/>
          <w:sz w:val="32"/>
          <w:szCs w:val="32"/>
          <w:lang w:val="en-US" w:eastAsia="zh-CN" w:bidi="ar-SA"/>
        </w:rPr>
        <w:t xml:space="preserve">                         2017年11月10日</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农村集体资产清产核资办法</w:t>
      </w:r>
    </w:p>
    <w:p>
      <w:pPr>
        <w:jc w:val="center"/>
        <w:rPr>
          <w:rFonts w:ascii="仿宋" w:hAnsi="仿宋" w:eastAsia="仿宋" w:cs="仿宋"/>
          <w:sz w:val="32"/>
          <w:szCs w:val="32"/>
        </w:rPr>
      </w:pPr>
    </w:p>
    <w:p>
      <w:pPr>
        <w:jc w:val="center"/>
        <w:rPr>
          <w:rFonts w:ascii="黑体" w:hAnsi="黑体" w:eastAsia="黑体" w:cs="黑体"/>
          <w:sz w:val="32"/>
          <w:szCs w:val="32"/>
        </w:rPr>
      </w:pPr>
      <w:r>
        <w:rPr>
          <w:rFonts w:hint="eastAsia" w:ascii="黑体" w:hAnsi="黑体" w:eastAsia="黑体" w:cs="黑体"/>
          <w:sz w:val="32"/>
          <w:szCs w:val="32"/>
        </w:rPr>
        <w:t>第一章　总则</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做好农村集体资产清产核资工作，推进农村集体产权制度改革的顺利开展，根据中共中央国务院《关于稳步推进农村集体产权制度改革的意见》、河北省委省政府《关于稳步推进农村集体产权制度改革的意见》、馆陶县委县政府《关于全面推进农村集体产权制度改革的实施意见》等文件精神，切实摸清农村集体家底，理顺农村集体资产所有权关系，保护农村集体经济组织及其成员合法权益，防止集体资产流失，夯实农村集体产权制度改革基础，</w:t>
      </w:r>
      <w:r>
        <w:rPr>
          <w:rFonts w:hint="eastAsia" w:ascii="仿宋_GB2312" w:hAnsi="仿宋_GB2312" w:eastAsia="仿宋_GB2312" w:cs="仿宋_GB2312"/>
          <w:sz w:val="32"/>
          <w:szCs w:val="32"/>
          <w:lang w:eastAsia="zh-CN"/>
        </w:rPr>
        <w:t>特</w:t>
      </w:r>
      <w:r>
        <w:rPr>
          <w:rFonts w:hint="eastAsia" w:ascii="仿宋_GB2312" w:hAnsi="仿宋_GB2312" w:eastAsia="仿宋_GB2312" w:cs="仿宋_GB2312"/>
          <w:sz w:val="32"/>
          <w:szCs w:val="32"/>
        </w:rPr>
        <w:t>制定本办法。</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农村集体资产清产核资的对象是：乡镇、村、组集体经济组织，包括未建立村、组集体经济组织或者村、组集体经济组织不健全，代行其集体资产管理职能的村民委员会、村民小组或其他单位，撤村建居后代行原集体经济组织职能的社区居民委员会，以及农村集体经济组织所属企业等。</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农村集体资产清产核资的范围包括：农民集体所有的土地、森林、山岭、草地、荒地、滩涂等资源性资产；用于经营的房屋、建筑物、机器设备、工具器具、农业基础设施（包括小型水利工程）、集体投资兴办的企业及其所持有的其他经济组织的资产份额、无形资产等经营性资产；用于公共服务的教育、科技、文化、卫生、体育等方面的非经营性资产。重点清查核实未承包到户的资源性资产和集体统一经营的经营性资产以及现金、债权债务等。</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清产核资登记时间定为2017年12月31日</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清产核资工作要按照清查核实、公示确认、建立台账、审核备案、汇总上报、纳入平台管理等操作程序进行。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清查核实应当以登记时间为基点，在清查日采取倒轧的方式对清查核实结果进行调整。</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清产核资工作坚持民主公开，依靠和发动群众，组织群众参与、接受群众监督得到群众认可，清查结果要向全体农村集体经济组织成员公示，并非成员（代表）大会确认、清产核资结果公示期间，要安排专人答疑解惑。</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第二章　集体资产清查</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流动资产清查，包括现金、银行存款、短期投资、应收款项、存货等。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现金。清查核对现金账面余额与库存现金是否相符。清查发现有现金长款或短款的，要查明原因，据实编制凭证，调整账簿。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银行存款。清查核对银行存款账面余额与开户银行或其他金融机构出具的银行存款对账单余额是否相符。余额不符的，要查明原因。对由未达账项引起的，要编制《银行存款余额调节表》进行调整。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短期投资。清查核对各种短期投资账面余额与短期投资原始凭证记载是否相符，查清各种短期投资的投资对象、投资金额、投资时间、投资金额、投资协议等。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收款。清查核对单位和个人的各项应收及暂付款项，根据应收款账面余额，采取面询、函证等方式逐一与外部单位和个人进行核对，取得书面核对凭证，查清债务人、金额、产生时间、到期时间和经办人等，并以双方记账凭证金额一致为准。对基准日应收未收的款项，按照权责发生制原则，依据合同、协议或政策文件确认，并取得债务人书面同意；对有争议的债权，要查证、核实，明确债权关系；对因债务单位撤销，或债务人死亡，且既无遗产清偿，又无义务承担人等原因，确实无法收回的款项，要明确责任，按照有关规定进行核销。因诉讼等原因处于不确定状态的债权，须单独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部往来。清查核对内部所属单位和农户的各种应收及暂付款项，根据内部往来明细账余额，采取公示、面询、函证等方式逐一与所属单位和农户进行核对，取得书面核对凭证，查清债权债务单位或个人、债权债务金额、形成原因、到期时间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存货。清查核对存货账面余额及明细账与农业生产资料（种子、化肥、燃料、农药等）、原材料、机械零配件、低值易耗品、在产品、农产品和工业产成品等实际数是否相符, 查清库存物资的类别、数量、金额、存放地点、保管人员等情况。清查采取实地盘点方法，保管员必须在场并参加盘点工作。对清查中发现的积压、已毁损或需报废的存货，要查明原因，按照有关规定和程序妥善处理。</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农业资产清查，包括村集体经济组织购入、培育或营造的牲畜（禽）资产和林木资产。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牲畜（禽）资产。清查核实牲畜（禽）资产账面数与实际数是否相符，查清牲畜（禽）资产的品种、数量、金额、生长阶段，以及死亡、等情况。清查采取实地盘点方法，饲养员必须在场并参与盘点工作。对有死亡、毁损或账实不符的，要查明原因，按照有关规定和程序妥善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林木资产。清查核实林木资产账面数与实际数是否相符，查清林木资产品种、数量、金额、生长阶段，以及死亡、毁损等情况。清查采取实地盘点方法，管理人员必须在场并参与盘点工作。对有死亡、毁损或账实不符的，要查明原因，按照有关规定和程序妥善处理。 </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长期投资产清查，包括集体经济组织不准备在一年内（不含一年）变现的股权投资、债权投资，以及对农民专业合作社、家庭农场、企业等的投资。清查核实长期投资账面数与实际数是否相符，采取面询、函证等方式，将长期投资明细账与投资合同或协议、记录凭证、审批文件、投资有关权益证书等与投资对象逐一进行核对，取得书面核对凭证查清长期投资的对象（项目）、金额、方式、期限、股息（利息）等</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固定资产清查，包括房屋、建筑物、机器设备、工具器具、农业基础设施等（包括小型水利工程）等。要按照固定资产用途，区分经营性和非经营性进行清查核实。清查采取实地盘查方法，与固定资产总账、明细账以及登记簿（卡片）逐一核对，清查各项固定资产的购建时间、座落位置或存放地点、原值、累计折旧、净值、使用状态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对出租的固定资产，由出租方负责清查，并与租入方进行核对。对租入的固定资产，要与出租方核对，并进行账外备查登记。对没有登记入账的固定资产，要将清查结果与登记入账。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对清查出盘盈、盘亏的固定资产，要查明原因，提出处理意见，并按规定程序申报处置。</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在建工程清查，包括尚未完工、或虽已完工但尚未办理竣工决算的工程项目。要求按照在建工程未来形成资产的用途，区分经营性和非经营性进行清查核实。清查核对在建工程明细账与银行存款、库存物资、一事一议资金等相关记录是否相符。清查采取实地盘查方法，依据在建工程明细账和在建工程合同等，查清在建工程进度和质量，在建工程名称、承建单位、建设时间、建设地点、预算投资额、已投入建设资金等。对于使用财政资金的基本建设，竣工财务决算要求严格执行《基本建设财务规定》。</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无形资产清查，包括各项专利权、商标权、非专利技术等纳入账内核算的无形资产。依据无形资产明细账和相关记录，查清各种无形资产名称、取得时间、取得方式、使用年限、使用情况、原始价值、摊余价值等。</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资源性资产清查，包括农民集体所有的土地、森林、山岭、草原、荒地、滩涂等。清查按照农用地、建设用地和未利用地分类进行，只登记面积、权属和经营情况等一般不确认价值。清查要与农村集体土地确权登记发证、农村土地承包经营权确权登记颁证、集体林权确权登记颁证、草原确权登记颁证等不动产登记、自然资源确权登记工作衔接，充分利用已有登记成果、森林资源档案等，减少和避免重复劳动。</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第三章  负债和所有者权益清查</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流动负债清查，包括短期借款、应付款项、应付工资、应付福利费等。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短期借款。清查核对集体经济组织从银行、信用社和有关单位、个人借入的期限在一年以下（含一年）的各种借款，根据短期借款明细账余额，查清债权人、借款金额、借款用途及审批人等。所有借款须取得合同、凭据，无法取得的，由债权人、债务人双方签订确认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付款。清查核对集体经济组织与外单位和外部个人发生的偿还期在一年以下（含一年）的各种应付及暂收款等，根据应付款明细账余额，采取面询、函证等方式逐一与债权人进行核对，取得书面核对凭证，查清债权人、金额、用途、产生时间、到期时间及审批人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应付工资。清查核对集体经济组织应付给其管理人员及固定员工的报酬，按照确定的工资标准，核对应付工资账面余额和工资表记录是否相符，查清领取工资人员的数量、姓名、金额等。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应付福利费。清查核对集体经济组织从用于集体福利、文教、卫生等方面的福利费，查清应付福利费账面余额、借贷方向及使用项目、受益对象、支付时间等。</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长期负债清查，包括长期借款及应付款、一事一议资金和专项应付款等。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期借款及应付款。清查核对集体经济组织从银行、信用社和有关单位、个人借入的期限在一年以上（不含一年）的各种借款及偿还期在一年以上（不含一年）的应付款项，根据长期借款及应付款明细账，查清债权人、借款金额、借款期限、借款用途及审批人等。所有借款须取得合同、凭据，无法取得的，由债权人、债务人双方签订确认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事一议资金。清查核对集体经济组织兴办生产、公益事业，按一事一议的形式筹集的专项资金，核对一事一议资金账面余额与筹资方案、备查账簿记录是否相符，查清一事一议项目预算、资金来源、已使用金额、结余情况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专项应付款。清查核对集体经济组织收到的征地补偿费、国家财政专项补助等的资金，根据专项应付款明细账，查清专项应付款拨款单位、拨入金额、拨入时间、使用金额、具体用途等。</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sz w:val="32"/>
          <w:szCs w:val="32"/>
        </w:rPr>
        <w:t>所有者权益清查，包括资本、公积公益金、未分配收益等。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本。清查核对集体经济组织实际收到投入的资本，按照资本明细账余额向前追溯，对于记载清晰的，通过公示、问询和函证等方式，与投资人进行核对，取得书面核对凭证，查清资本账面余额；对于记载不清的，可暂时将本集体经济组织列为投资人，记入本集体名下。清查出资本明细账记录与实际投资人不符时，要经当事人签字认可，成员（代表）大会表决通过后，要据实调整资本明细账。对投资单位撤销的，要将投资单位投入资本转为本集体资本，依据相关证明材料调整资本明细账；对投资人死亡且有继承人的，将其投入资本转给其继承人；对投资人死亡且无继承人的，将其投入资本转为本集体资本，依据相关证明材料调整资本明细账。对农业合作化时期社员入社股份基金，有条件的可以进行查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公积公益金。清查核对集体经济组织从收益中提取的和其他来源取得的公积公益金。根据公积公益金明细账，结合资产负债及资本账目调整，查清公积公益金账面余额。</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未分配收益。清查核对集体经济组织历年分配后的结存余额，根据收益分配明细账，结合资产、负债及资本账目调整，查清未分配收益余额。</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第四章  资产估价与价值重估</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第十七条 </w:t>
      </w:r>
      <w:r>
        <w:rPr>
          <w:rFonts w:hint="eastAsia" w:ascii="仿宋_GB2312" w:hAnsi="仿宋_GB2312" w:eastAsia="仿宋_GB2312" w:cs="仿宋_GB2312"/>
          <w:sz w:val="32"/>
          <w:szCs w:val="32"/>
        </w:rPr>
        <w:t>集体经济组织成员集体所有的未纳入会计核算或无原始凭证的资产要进行资产估价。集体经济组织成员集体所有的资产中，账面价值与实际价值背离较大的资产，可以进行价值重估。</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固定资产，一般按构建或调入原始价值确定。对因账外调入或无偿划归等原因查不到原始价值凭证的固定资产，可比照同类资产现行购建价格确定。</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长期股权投资，一般按初始投资价值确定。对确有交易需求且经集体经济组织成员（代表）大会表决通过的，可进行资产价值重估，按现值或公允价值确定。</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资产估价和价值重估必须经成员（代表）大会民主讨论决定，一般由集体经济组织自行展开，或委托乡镇农村经营管理部门负责，民主讨论确定估价方法，作为记账凭证入账，任何组织和个人不得随意估价处置资产。确有需求的要聘请有资质的专业机构参与，其结果需经成员（代表）大会民主表决通过。</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第十九条 </w:t>
      </w:r>
      <w:r>
        <w:rPr>
          <w:rFonts w:hint="eastAsia" w:ascii="仿宋_GB2312" w:hAnsi="仿宋_GB2312" w:eastAsia="仿宋_GB2312" w:cs="仿宋_GB2312"/>
          <w:sz w:val="32"/>
          <w:szCs w:val="32"/>
        </w:rPr>
        <w:t>集体经济组织资产估价和价值重估，要坚持实事求是，严格执行国家有关政策和技术标准，不得随意多估或少估，并在乡镇农村经营管理部门备案。</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第五章  资产所有权确权</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根据《物权法》和《意见》要求，要把农村集体资产的所有权到不同层级的农村集体经济组织成员集体，并依法由农村集体经济组织代表集体行使所有权</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有集体统一经营资产的村（组），特别是城中村、城郊村、经济发达村等，应建立农村集体经济组织，并在村党组织的领导和村民委员会的支持下，按照法律法规行使集体资产所有权。</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农村集体资产所有权界定，要充分考虑不同资产形成过程和历史沿革，从有利于管理实际出发，从兼顾国家与集体利益和维护农村社会稳定大局出发，尊重历史、兼顾现实、实事求是、依法依规地进行。严格按照产权归属确权，不能打乱原有集体所有界限。</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政府拨款、减免税费等形成的资产归农村集体经济组织所有，要把所有权确到农村集体经济组织成员集体。对由政府拨款和集体经济组织以外单位或个人投入等混合所有制方式形成的资产，按照各方出资比例约定的股权比例确认所有权。</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农村集体资产所有权确权要区分不同层级进行。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属于村农民集体所有的，要把集体资产所有权确权到村集体经济组织成员集体，并依法由村集体经济组织代表集体行使所有权。未成立集体经济组织的由村民委员会代表集体行使所有权；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分别属于村内两个以上农民集体所有的，要把集体资产所有权确权到村内各该集体经济组织成员集体，并依法由村集体经济组织代表集体行使所有权，未成立集体经济组织的由村民小组代表集体行使所有权；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属于乡镇农民集体所有的，要把集体资产所有权确权到乡镇集体经济组织成员集体，并依法由乡镇集体经济组织代表集体行使所有权。</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对集体资产所有权有争议的，除法律、法规已有规定外，可协商解决。协商不成的，可列为待界定资产，也可通过仲裁或司法程序解决。</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条集体经济组织资产所有权确权工作由县级人民政府组织实施。 </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第六章  账目调整与资产监管</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xml:space="preserve"> 集体经济组织要根据《村集体经济组织会计制度》等有关规定，对清产核资中发现的账款不符、账实不符、账证不符等问题及时进行账务处理。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存货、农业资产、固定资产的盘盈或盘亏,在建工程的报废或毁损等,必须查明原因,落实责任,经集体经济组织成员(代表)大会讨论通过,报乡镇农村经营管理部门审核批准后,按照会计制度进行账务处理。盘盈计入其他收入,盘亏计入其他支出;数额较大的,可作为增减公积公益金处理,同时调整账簿记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清产核资前没有纳入账内核算的固定资产、无形资产、农业资产等,包括政府拨款、税费减免等形成的资产,社会团体、个人捐赠的资产等,有原始凭证的,按记载价值入账;无法取得原始凭证的,通过资产估价确认价值入账,作为增加公积公益金处理,经民主程序讨论通过,可转增资本(并按股权比例量化给成员或集体),同时调整账簿记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确实无法收回的应收款项、对外投资,预期不能带来收益的无形资产,确实无法支付的债务等核销,必须进行严格的审核,查原因,落实责任,经集体经济组织成员(代表)大会讨论通过,报乡镇农村经营管理部门审核批准后,按照会计制度进行账务处理。债权核销计入其他支出,债务核销计入其他收入,投资净损失计入投资收益,同时调整账簿记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不符合条件或未履行规定程序的,不得进行账目调整。</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xml:space="preserve"> 集体经济组织所属企业,包括全资持有、直接或间接拥有半数以上表决权等能够控制的被投资企业,其资产要进行清产核资,并登记入账。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集体经济组织全资持有的被投资企业,要将其清产核资后生成的资产负债表,与集体经济组织的资产负债表相关科目进行合并,同时集体经济组织与被投资企业之间的债权和债务项目要相互抵消;并调减集体经济组织的长期投资和被投资企业的所有者权益,差额计入公积公益金。</w:t>
      </w:r>
    </w:p>
    <w:p>
      <w:pPr>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对集体经济组织直接或间接拥有半数以上表决权等能够控制的被投资企业,在清产核资后,将所有者权益按投资比例对应调整集体经济组织的长期投资,差额计入公积公益金。</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xml:space="preserve"> 建立年度资产清查制度和定期报告制度,至少每年末开展一次资产清查,次年3月31日前将清查结果逐级报送国家农业部。</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xml:space="preserve"> 加快全国农村集体资产监督管理平台建设,将清产核资数据统一纳入平台管理,推动农村集体资产财务管理制度化、规范化、信息化。</w:t>
      </w:r>
    </w:p>
    <w:p>
      <w:pPr>
        <w:ind w:firstLine="640" w:firstLineChars="200"/>
        <w:rPr>
          <w:rFonts w:hint="eastAsia" w:ascii="仿宋_GB2312" w:hAnsi="仿宋_GB2312" w:eastAsia="仿宋_GB2312" w:cs="仿宋_GB2312"/>
          <w:sz w:val="32"/>
          <w:szCs w:val="32"/>
        </w:rPr>
      </w:pPr>
    </w:p>
    <w:p>
      <w:pPr>
        <w:numPr>
          <w:ilvl w:val="0"/>
          <w:numId w:val="0"/>
        </w:numPr>
        <w:jc w:val="center"/>
        <w:rPr>
          <w:rFonts w:hint="eastAsia" w:ascii="黑体" w:hAnsi="黑体" w:eastAsia="黑体" w:cs="黑体"/>
          <w:sz w:val="32"/>
          <w:szCs w:val="32"/>
        </w:rPr>
      </w:pPr>
      <w:r>
        <w:rPr>
          <w:rFonts w:hint="eastAsia" w:ascii="黑体" w:hAnsi="黑体" w:eastAsia="黑体" w:cs="黑体"/>
          <w:sz w:val="32"/>
          <w:szCs w:val="32"/>
          <w:lang w:val="en-US" w:eastAsia="zh-CN"/>
        </w:rPr>
        <w:t xml:space="preserve">第七章  </w:t>
      </w:r>
      <w:r>
        <w:rPr>
          <w:rFonts w:hint="eastAsia" w:ascii="黑体" w:hAnsi="黑体" w:eastAsia="黑体" w:cs="黑体"/>
          <w:sz w:val="32"/>
          <w:szCs w:val="32"/>
        </w:rPr>
        <w:t>附则</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xml:space="preserve"> 各乡镇、村、组可依据本办法，结合本地实际，制定实施细则。</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xml:space="preserve"> 本办法由馆陶县农村集体产权制度改革领导小组负责解释。</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xml:space="preserve"> 本办法自发布之日起施行。 </w:t>
      </w:r>
    </w:p>
    <w:p>
      <w:pPr>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620" w:lineRule="exact"/>
        <w:jc w:val="center"/>
        <w:textAlignment w:val="auto"/>
        <w:outlineLvl w:val="9"/>
        <w:rPr>
          <w:rFonts w:hint="eastAsia" w:ascii="仿宋_GB2312" w:hAnsi="仿宋_GB2312" w:eastAsia="仿宋_GB2312" w:cs="仿宋_GB2312"/>
          <w:b w:val="0"/>
          <w:bCs w:val="0"/>
          <w:color w:val="000000"/>
          <w:sz w:val="32"/>
          <w:szCs w:val="32"/>
          <w:lang w:eastAsia="zh-CN"/>
        </w:rPr>
      </w:pPr>
    </w:p>
    <w:p>
      <w:pPr>
        <w:spacing w:line="560" w:lineRule="exact"/>
        <w:jc w:val="center"/>
        <w:rPr>
          <w:rFonts w:hint="eastAsia" w:ascii="方正小标宋简体" w:hAnsi="方正小标宋简体" w:eastAsia="方正小标宋简体" w:cs="方正小标宋简体"/>
          <w:b/>
          <w:bCs/>
          <w:sz w:val="44"/>
          <w:szCs w:val="44"/>
        </w:rPr>
      </w:pPr>
    </w:p>
    <w:p>
      <w:pPr>
        <w:spacing w:line="560" w:lineRule="exact"/>
        <w:jc w:val="center"/>
        <w:rPr>
          <w:rFonts w:hint="eastAsia" w:ascii="方正小标宋简体" w:hAnsi="方正小标宋简体" w:eastAsia="方正小标宋简体" w:cs="方正小标宋简体"/>
          <w:b/>
          <w:bCs/>
          <w:sz w:val="44"/>
          <w:szCs w:val="44"/>
        </w:rPr>
      </w:pPr>
    </w:p>
    <w:p>
      <w:pPr>
        <w:spacing w:line="560" w:lineRule="exact"/>
        <w:jc w:val="center"/>
        <w:rPr>
          <w:rFonts w:hint="eastAsia" w:ascii="方正小标宋简体" w:hAnsi="方正小标宋简体" w:eastAsia="方正小标宋简体" w:cs="方正小标宋简体"/>
          <w:b/>
          <w:bCs/>
          <w:sz w:val="44"/>
          <w:szCs w:val="44"/>
        </w:rPr>
      </w:pPr>
    </w:p>
    <w:p>
      <w:pPr>
        <w:spacing w:line="560" w:lineRule="exact"/>
        <w:jc w:val="center"/>
        <w:rPr>
          <w:rFonts w:hint="eastAsia" w:ascii="方正小标宋简体" w:hAnsi="方正小标宋简体" w:eastAsia="方正小标宋简体" w:cs="方正小标宋简体"/>
          <w:b/>
          <w:bCs/>
          <w:sz w:val="44"/>
          <w:szCs w:val="44"/>
        </w:rPr>
      </w:pPr>
    </w:p>
    <w:p>
      <w:pPr>
        <w:spacing w:line="560" w:lineRule="exact"/>
        <w:jc w:val="center"/>
        <w:rPr>
          <w:rFonts w:hint="eastAsia" w:ascii="方正小标宋简体" w:hAnsi="方正小标宋简体" w:eastAsia="方正小标宋简体" w:cs="方正小标宋简体"/>
          <w:b/>
          <w:bCs/>
          <w:sz w:val="44"/>
          <w:szCs w:val="44"/>
        </w:rPr>
      </w:pPr>
    </w:p>
    <w:p>
      <w:pPr>
        <w:spacing w:line="560" w:lineRule="exact"/>
        <w:jc w:val="center"/>
        <w:rPr>
          <w:rFonts w:hint="eastAsia" w:ascii="方正小标宋简体" w:hAnsi="方正小标宋简体" w:eastAsia="方正小标宋简体" w:cs="方正小标宋简体"/>
          <w:b/>
          <w:bCs/>
          <w:sz w:val="44"/>
          <w:szCs w:val="44"/>
        </w:rPr>
      </w:pPr>
    </w:p>
    <w:p>
      <w:pPr>
        <w:spacing w:line="560" w:lineRule="exact"/>
        <w:jc w:val="center"/>
        <w:rPr>
          <w:rFonts w:hint="eastAsia" w:ascii="方正小标宋简体" w:hAnsi="方正小标宋简体" w:eastAsia="方正小标宋简体" w:cs="方正小标宋简体"/>
          <w:b/>
          <w:bCs/>
          <w:sz w:val="44"/>
          <w:szCs w:val="44"/>
        </w:rPr>
      </w:pPr>
    </w:p>
    <w:p>
      <w:pPr>
        <w:spacing w:line="560" w:lineRule="exact"/>
        <w:jc w:val="center"/>
        <w:rPr>
          <w:rFonts w:hint="eastAsia" w:ascii="方正小标宋简体" w:hAnsi="方正小标宋简体" w:eastAsia="方正小标宋简体" w:cs="方正小标宋简体"/>
          <w:b/>
          <w:bCs/>
          <w:sz w:val="44"/>
          <w:szCs w:val="44"/>
        </w:rPr>
      </w:pPr>
    </w:p>
    <w:p>
      <w:pPr>
        <w:spacing w:line="560" w:lineRule="exact"/>
        <w:jc w:val="center"/>
        <w:rPr>
          <w:rFonts w:hint="eastAsia" w:ascii="方正小标宋简体" w:hAnsi="方正小标宋简体" w:eastAsia="方正小标宋简体" w:cs="方正小标宋简体"/>
          <w:b/>
          <w:bCs/>
          <w:sz w:val="44"/>
          <w:szCs w:val="44"/>
        </w:rPr>
      </w:pPr>
    </w:p>
    <w:p>
      <w:pPr>
        <w:spacing w:line="560" w:lineRule="exact"/>
        <w:jc w:val="center"/>
        <w:rPr>
          <w:rFonts w:hint="eastAsia" w:ascii="方正小标宋简体" w:hAnsi="方正小标宋简体" w:eastAsia="方正小标宋简体" w:cs="方正小标宋简体"/>
          <w:b/>
          <w:bCs/>
          <w:sz w:val="44"/>
          <w:szCs w:val="44"/>
        </w:rPr>
      </w:pPr>
    </w:p>
    <w:p>
      <w:pPr>
        <w:spacing w:line="560" w:lineRule="exact"/>
        <w:jc w:val="center"/>
        <w:rPr>
          <w:rFonts w:hint="eastAsia" w:ascii="方正小标宋简体" w:hAnsi="方正小标宋简体" w:eastAsia="方正小标宋简体" w:cs="方正小标宋简体"/>
          <w:b/>
          <w:bCs/>
          <w:sz w:val="44"/>
          <w:szCs w:val="44"/>
        </w:rPr>
      </w:pPr>
    </w:p>
    <w:p>
      <w:pPr>
        <w:pStyle w:val="6"/>
        <w:widowControl/>
        <w:spacing w:beforeAutospacing="0" w:afterAutospacing="0" w:line="480" w:lineRule="atLeast"/>
        <w:ind w:firstLine="1285" w:firstLineChars="400"/>
        <w:rPr>
          <w:rFonts w:hint="eastAsia" w:ascii="仿宋" w:hAnsi="仿宋" w:eastAsia="仿宋" w:cs="仿宋"/>
          <w:b/>
          <w:color w:val="000000"/>
          <w:sz w:val="32"/>
          <w:szCs w:val="32"/>
          <w:shd w:val="clear" w:color="auto" w:fill="FFFFFF"/>
        </w:rPr>
      </w:pPr>
    </w:p>
    <w:p>
      <w:pPr>
        <w:pStyle w:val="6"/>
        <w:widowControl/>
        <w:spacing w:beforeAutospacing="0" w:afterAutospacing="0" w:line="480" w:lineRule="atLeast"/>
        <w:ind w:firstLine="1285" w:firstLineChars="400"/>
        <w:rPr>
          <w:rFonts w:hint="eastAsia" w:ascii="仿宋" w:hAnsi="仿宋" w:eastAsia="仿宋" w:cs="仿宋"/>
          <w:b/>
          <w:color w:val="000000"/>
          <w:sz w:val="32"/>
          <w:szCs w:val="32"/>
          <w:shd w:val="clear" w:color="auto" w:fill="FFFFFF"/>
        </w:rPr>
      </w:pPr>
    </w:p>
    <w:p>
      <w:pPr>
        <w:spacing w:line="1620" w:lineRule="exact"/>
        <w:jc w:val="center"/>
        <w:rPr>
          <w:rFonts w:hint="eastAsia" w:ascii="方正小标宋简体" w:hAnsi="宋体" w:eastAsia="方正小标宋简体" w:cs="Times New Roman"/>
          <w:b/>
          <w:bCs/>
          <w:color w:val="FF0000"/>
          <w:spacing w:val="23"/>
          <w:w w:val="47"/>
          <w:sz w:val="80"/>
          <w:szCs w:val="80"/>
          <w:lang w:eastAsia="zh-CN"/>
        </w:rPr>
      </w:pPr>
      <w:r>
        <w:rPr>
          <w:rFonts w:hint="eastAsia" w:ascii="方正小标宋简体" w:hAnsi="宋体" w:eastAsia="方正小标宋简体" w:cs="Times New Roman"/>
          <w:b/>
          <w:bCs/>
          <w:color w:val="FF0000"/>
          <w:spacing w:val="23"/>
          <w:w w:val="47"/>
          <w:sz w:val="80"/>
          <w:szCs w:val="80"/>
          <w:lang w:eastAsia="zh-CN"/>
        </w:rPr>
        <w:t>馆陶县农村集体产权制度改革领导小组文件</w:t>
      </w:r>
    </w:p>
    <w:p>
      <w:pPr>
        <w:spacing w:line="560" w:lineRule="exact"/>
        <w:jc w:val="center"/>
        <w:rPr>
          <w:rFonts w:hint="eastAsia" w:ascii="创艺简粗黑" w:hAnsi="创艺简粗黑" w:eastAsia="创艺简粗黑" w:cs="创艺简粗黑"/>
          <w:b/>
          <w:bCs/>
          <w:color w:val="FF0000"/>
          <w:w w:val="80"/>
          <w:kern w:val="16"/>
          <w:sz w:val="56"/>
          <w:szCs w:val="56"/>
        </w:rPr>
      </w:pPr>
    </w:p>
    <w:p>
      <w:pPr>
        <w:spacing w:line="560" w:lineRule="exact"/>
        <w:jc w:val="center"/>
        <w:rPr>
          <w:rFonts w:hint="eastAsia" w:ascii="方正小标宋简体" w:hAnsi="方正小标宋简体" w:eastAsia="方正小标宋简体" w:cs="方正小标宋简体"/>
          <w:b/>
          <w:bCs/>
          <w:w w:val="108"/>
          <w:sz w:val="60"/>
          <w:szCs w:val="60"/>
        </w:rPr>
      </w:pPr>
    </w:p>
    <w:p>
      <w:pPr>
        <w:spacing w:line="560" w:lineRule="exact"/>
        <w:jc w:val="center"/>
        <w:rPr>
          <w:rFonts w:hint="eastAsia" w:ascii="方正小标宋简体" w:hAnsi="方正小标宋简体" w:eastAsia="方正小标宋简体" w:cs="方正小标宋简体"/>
          <w:b/>
          <w:bCs/>
          <w:w w:val="108"/>
          <w:sz w:val="44"/>
          <w:szCs w:val="44"/>
        </w:rPr>
      </w:pPr>
    </w:p>
    <w:p>
      <w:pPr>
        <w:spacing w:line="560" w:lineRule="exact"/>
        <w:jc w:val="center"/>
        <w:rPr>
          <w:rFonts w:hint="eastAsia" w:ascii="仿宋_GB2312" w:hAnsi="仿宋_GB2312" w:eastAsia="仿宋_GB2312" w:cs="仿宋_GB2312"/>
          <w:b/>
          <w:bCs/>
          <w:i w:val="0"/>
          <w:iCs w:val="0"/>
          <w:sz w:val="32"/>
          <w:szCs w:val="32"/>
          <w:u w:val="none"/>
        </w:rPr>
      </w:pPr>
      <w:r>
        <w:rPr>
          <w:rFonts w:hint="eastAsia" w:ascii="仿宋_GB2312" w:hAnsi="仿宋_GB2312" w:eastAsia="仿宋_GB2312" w:cs="仿宋_GB2312"/>
          <w:b/>
          <w:bCs/>
          <w:i w:val="0"/>
          <w:iCs w:val="0"/>
          <w:sz w:val="32"/>
          <w:szCs w:val="32"/>
          <w:u w:val="none"/>
        </w:rPr>
        <w:t>馆农改〔201</w:t>
      </w:r>
      <w:r>
        <w:rPr>
          <w:rFonts w:hint="eastAsia" w:ascii="仿宋_GB2312" w:hAnsi="仿宋_GB2312" w:eastAsia="仿宋_GB2312" w:cs="仿宋_GB2312"/>
          <w:b/>
          <w:bCs/>
          <w:i w:val="0"/>
          <w:iCs w:val="0"/>
          <w:sz w:val="32"/>
          <w:szCs w:val="32"/>
          <w:u w:val="none"/>
          <w:lang w:val="en-US" w:eastAsia="zh-CN"/>
        </w:rPr>
        <w:t>7</w:t>
      </w:r>
      <w:r>
        <w:rPr>
          <w:rFonts w:hint="eastAsia" w:ascii="仿宋_GB2312" w:hAnsi="仿宋_GB2312" w:eastAsia="仿宋_GB2312" w:cs="仿宋_GB2312"/>
          <w:b/>
          <w:bCs/>
          <w:i w:val="0"/>
          <w:iCs w:val="0"/>
          <w:sz w:val="32"/>
          <w:szCs w:val="32"/>
          <w:u w:val="none"/>
        </w:rPr>
        <w:t>〕</w:t>
      </w:r>
      <w:r>
        <w:rPr>
          <w:rFonts w:hint="eastAsia" w:ascii="仿宋_GB2312" w:hAnsi="仿宋_GB2312" w:eastAsia="仿宋_GB2312" w:cs="仿宋_GB2312"/>
          <w:b/>
          <w:bCs/>
          <w:i w:val="0"/>
          <w:iCs w:val="0"/>
          <w:sz w:val="32"/>
          <w:szCs w:val="32"/>
          <w:u w:val="none"/>
          <w:lang w:val="en-US" w:eastAsia="zh-CN"/>
        </w:rPr>
        <w:t>11</w:t>
      </w:r>
      <w:r>
        <w:rPr>
          <w:rFonts w:hint="eastAsia" w:ascii="仿宋_GB2312" w:hAnsi="仿宋_GB2312" w:eastAsia="仿宋_GB2312" w:cs="仿宋_GB2312"/>
          <w:b/>
          <w:bCs/>
          <w:i w:val="0"/>
          <w:iCs w:val="0"/>
          <w:sz w:val="32"/>
          <w:szCs w:val="32"/>
          <w:u w:val="none"/>
        </w:rPr>
        <w:t>号</w:t>
      </w:r>
    </w:p>
    <w:p>
      <w:pPr>
        <w:pStyle w:val="6"/>
        <w:widowControl/>
        <w:spacing w:beforeAutospacing="0" w:afterAutospacing="0" w:line="480" w:lineRule="atLeast"/>
        <w:jc w:val="center"/>
        <w:rPr>
          <w:rFonts w:ascii="仿宋" w:hAnsi="仿宋" w:eastAsia="仿宋" w:cs="仿宋"/>
          <w:b/>
          <w:color w:val="000000"/>
          <w:sz w:val="32"/>
          <w:szCs w:val="32"/>
          <w:shd w:val="clear" w:color="auto" w:fill="FFFFFF"/>
        </w:rPr>
      </w:pPr>
      <w:r>
        <w:rPr>
          <w:rFonts w:hint="eastAsia" w:ascii="方正小标宋简体" w:hAnsi="方正小标宋简体" w:eastAsia="方正小标宋简体" w:cs="方正小标宋简体"/>
          <w:bCs/>
          <w:w w:val="108"/>
          <w:sz w:val="44"/>
          <w:szCs w:val="44"/>
          <w:lang w:eastAsia="zh-CN"/>
        </w:rPr>
        <w:t>—————————————————</w:t>
      </w:r>
    </w:p>
    <w:p>
      <w:pPr>
        <w:pStyle w:val="6"/>
        <w:widowControl/>
        <w:spacing w:beforeAutospacing="0" w:afterAutospacing="0" w:line="480" w:lineRule="atLeast"/>
        <w:ind w:firstLine="1325" w:firstLineChars="300"/>
        <w:jc w:val="both"/>
        <w:rPr>
          <w:rFonts w:asciiTheme="majorEastAsia" w:hAnsiTheme="majorEastAsia" w:eastAsiaTheme="majorEastAsia" w:cstheme="majorEastAsia"/>
          <w:b/>
          <w:color w:val="000000"/>
          <w:sz w:val="44"/>
          <w:szCs w:val="44"/>
          <w:shd w:val="clear" w:color="auto" w:fill="FFFFFF"/>
        </w:rPr>
      </w:pPr>
    </w:p>
    <w:p>
      <w:pPr>
        <w:spacing w:line="600" w:lineRule="exact"/>
        <w:jc w:val="center"/>
        <w:rPr>
          <w:rFonts w:ascii="方正小标宋简体" w:hAnsi="新宋体" w:eastAsia="方正小标宋简体"/>
          <w:b/>
          <w:sz w:val="44"/>
          <w:szCs w:val="44"/>
        </w:rPr>
      </w:pPr>
      <w:r>
        <w:rPr>
          <w:rFonts w:hint="eastAsia" w:ascii="方正小标宋简体" w:hAnsi="新宋体" w:eastAsia="方正小标宋简体"/>
          <w:b/>
          <w:sz w:val="44"/>
          <w:szCs w:val="44"/>
        </w:rPr>
        <w:t>馆陶县农村集体产权制度改革领导小组</w:t>
      </w:r>
    </w:p>
    <w:p>
      <w:pPr>
        <w:spacing w:line="600" w:lineRule="exact"/>
        <w:jc w:val="center"/>
        <w:rPr>
          <w:rFonts w:hint="eastAsia" w:ascii="方正小标宋简体" w:hAnsi="新宋体" w:eastAsia="方正小标宋简体"/>
          <w:b/>
          <w:sz w:val="44"/>
          <w:szCs w:val="44"/>
        </w:rPr>
      </w:pPr>
      <w:r>
        <w:rPr>
          <w:rFonts w:hint="eastAsia" w:ascii="方正小标宋简体" w:hAnsi="新宋体" w:eastAsia="方正小标宋简体"/>
          <w:b/>
          <w:sz w:val="44"/>
          <w:szCs w:val="44"/>
        </w:rPr>
        <w:t>关于农村集体资产评估的指导意见</w:t>
      </w:r>
    </w:p>
    <w:p>
      <w:pPr>
        <w:keepNext w:val="0"/>
        <w:keepLines w:val="0"/>
        <w:pageBreakBefore w:val="0"/>
        <w:widowControl w:val="0"/>
        <w:kinsoku/>
        <w:wordWrap/>
        <w:overflowPunct/>
        <w:topLinePunct w:val="0"/>
        <w:autoSpaceDE w:val="0"/>
        <w:autoSpaceDN w:val="0"/>
        <w:bidi w:val="0"/>
        <w:adjustRightInd w:val="0"/>
        <w:spacing w:line="600" w:lineRule="exact"/>
        <w:ind w:left="10" w:right="93" w:firstLine="643" w:firstLineChars="200"/>
        <w:jc w:val="center"/>
        <w:textAlignment w:val="auto"/>
        <w:outlineLvl w:val="9"/>
        <w:rPr>
          <w:rFonts w:hint="eastAsia" w:ascii="仿宋_GB2312" w:hAnsi="仿宋_GB2312" w:eastAsia="仿宋_GB2312" w:cs="仿宋_GB2312"/>
          <w:b/>
          <w:bCs/>
          <w:color w:val="333333"/>
          <w:kern w:val="0"/>
          <w:sz w:val="32"/>
          <w:szCs w:val="32"/>
          <w:highlight w:val="white"/>
          <w:lang w:val="en-US" w:eastAsia="zh-CN"/>
        </w:rPr>
      </w:pPr>
      <w:r>
        <w:rPr>
          <w:rFonts w:hint="eastAsia" w:ascii="仿宋_GB2312" w:hAnsi="仿宋_GB2312" w:eastAsia="仿宋_GB2312" w:cs="仿宋_GB2312"/>
          <w:b/>
          <w:bCs/>
          <w:color w:val="333333"/>
          <w:kern w:val="0"/>
          <w:sz w:val="32"/>
          <w:szCs w:val="32"/>
          <w:highlight w:val="white"/>
          <w:lang w:val="en-US" w:eastAsia="zh-CN"/>
        </w:rPr>
        <w:t>（2017年11月22日）</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outlineLvl w:val="9"/>
        <w:rPr>
          <w:rFonts w:hint="eastAsia" w:ascii="仿宋_GB2312" w:hAnsi="仿宋_GB2312" w:eastAsia="仿宋_GB2312" w:cs="仿宋_GB2312"/>
          <w:color w:val="333333"/>
          <w:kern w:val="2"/>
          <w:sz w:val="32"/>
          <w:szCs w:val="32"/>
          <w:shd w:val="clear" w:color="auto" w:fill="FFFFFF"/>
          <w:lang w:val="zh-CN"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zh-CN" w:eastAsia="zh-CN" w:bidi="ar-SA"/>
        </w:rPr>
        <w:t>为全面推进农村集体产权制度改革工作，对农村集体清理的所有的资金、资产和资源情况进行合理估值，按照河北省委省政府《关于稳步推进农村集体产权制度改革的实施意见》、馆陶县委县政府《关于全面推进农村集体产权制度改革的实施意见》等有关要求，结合我县实际，制定本指导意见。</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600" w:lineRule="exact"/>
        <w:ind w:firstLine="570"/>
        <w:textAlignment w:val="auto"/>
        <w:outlineLvl w:val="9"/>
        <w:rPr>
          <w:rFonts w:hint="eastAsia" w:ascii="黑体" w:hAnsi="黑体" w:eastAsia="黑体" w:cs="仿宋"/>
          <w:color w:val="333333"/>
          <w:kern w:val="0"/>
          <w:sz w:val="32"/>
          <w:szCs w:val="32"/>
          <w:highlight w:val="white"/>
          <w:lang w:val="zh-CN"/>
        </w:rPr>
      </w:pPr>
      <w:r>
        <w:rPr>
          <w:rFonts w:hint="eastAsia" w:ascii="黑体" w:hAnsi="黑体" w:eastAsia="黑体" w:cs="仿宋"/>
          <w:color w:val="333333"/>
          <w:kern w:val="0"/>
          <w:sz w:val="32"/>
          <w:szCs w:val="32"/>
          <w:highlight w:val="white"/>
          <w:lang w:val="zh-CN"/>
        </w:rPr>
        <w:t>哪些资产需要资产评估</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农村集体经济组织成员集体所有的未纳入会计核算或无原始凭证的资产要进行资产估价。集体经济组织成员集体所有的资产中，账面价值与实际价值背离较大的资产，可以进行价值重估。</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固定资产，一般按构建或调入原始价值确定。对因账外调入或无偿划归等原因查不到原始价值凭证的固定资产，可比照同类资产现行购建价格确定。</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长期股权投资，一般按初始投资价值确定。对确有交易需求且经集体经济组织成员（代表）大会表决通过的，可进行资产价值重估，按现值或公允价值确定。</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570"/>
        <w:textAlignment w:val="auto"/>
        <w:outlineLvl w:val="9"/>
        <w:rPr>
          <w:rFonts w:ascii="黑体" w:hAnsi="黑体" w:eastAsia="黑体" w:cs="仿宋"/>
          <w:color w:val="333333"/>
          <w:kern w:val="0"/>
          <w:sz w:val="32"/>
          <w:szCs w:val="32"/>
          <w:highlight w:val="white"/>
          <w:lang w:val="zh-CN"/>
        </w:rPr>
      </w:pPr>
      <w:r>
        <w:rPr>
          <w:rFonts w:hint="eastAsia" w:ascii="黑体" w:hAnsi="黑体" w:eastAsia="黑体" w:cs="仿宋"/>
          <w:color w:val="333333"/>
          <w:kern w:val="0"/>
          <w:sz w:val="32"/>
          <w:szCs w:val="32"/>
          <w:highlight w:val="white"/>
          <w:lang w:val="zh-CN"/>
        </w:rPr>
        <w:t>二、为什么要进行资产评估</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outlineLvl w:val="9"/>
        <w:rPr>
          <w:rFonts w:hint="eastAsia" w:ascii="仿宋_GB2312" w:hAnsi="仿宋_GB2312" w:eastAsia="仿宋_GB2312" w:cs="仿宋_GB2312"/>
          <w:color w:val="333333"/>
          <w:kern w:val="2"/>
          <w:sz w:val="32"/>
          <w:szCs w:val="32"/>
          <w:shd w:val="clear" w:color="auto" w:fill="FFFFFF"/>
          <w:lang w:val="zh-CN" w:eastAsia="zh-CN" w:bidi="ar-SA"/>
        </w:rPr>
      </w:pPr>
      <w:r>
        <w:rPr>
          <w:rFonts w:hint="eastAsia" w:ascii="仿宋_GB2312" w:hAnsi="仿宋_GB2312" w:eastAsia="仿宋_GB2312" w:cs="仿宋_GB2312"/>
          <w:color w:val="333333"/>
          <w:kern w:val="2"/>
          <w:sz w:val="32"/>
          <w:szCs w:val="32"/>
          <w:shd w:val="clear" w:color="auto" w:fill="FFFFFF"/>
          <w:lang w:val="zh-CN" w:eastAsia="zh-CN" w:bidi="ar-SA"/>
        </w:rPr>
        <w:t>随着时间的推移、市场供求关系和物价水平等不断发生变化，农村集体资产本身在使用过程中不断损耗或增值。因此，资产的价格也在不断变化。《国务院关于加强农村集体资产管理工作的通知》第四章第十条规定：“集体资产通过拍卖、转让或者由于实行租赁经营、股份经营、联营及中外合资经营、中外合作经营等方式而发生所有权或使用权转移，必须进行资产评估，并以评估价值作为转让所有权或使用权的依据”。因此，对集体资产进行量化折股前，就需要对集体资产进行评估，并出具资产评估报告。</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outlineLvl w:val="9"/>
        <w:rPr>
          <w:rFonts w:hint="eastAsia" w:ascii="仿宋_GB2312" w:hAnsi="仿宋_GB2312" w:eastAsia="仿宋_GB2312" w:cs="仿宋_GB2312"/>
          <w:color w:val="333333"/>
          <w:kern w:val="2"/>
          <w:sz w:val="32"/>
          <w:szCs w:val="32"/>
          <w:shd w:val="clear" w:color="auto" w:fill="FFFFFF"/>
          <w:lang w:val="zh-CN" w:eastAsia="zh-CN" w:bidi="ar-SA"/>
        </w:rPr>
      </w:pPr>
      <w:r>
        <w:rPr>
          <w:rFonts w:hint="eastAsia" w:ascii="仿宋_GB2312" w:hAnsi="仿宋_GB2312" w:eastAsia="仿宋_GB2312" w:cs="仿宋_GB2312"/>
          <w:color w:val="333333"/>
          <w:kern w:val="2"/>
          <w:sz w:val="32"/>
          <w:szCs w:val="32"/>
          <w:shd w:val="clear" w:color="auto" w:fill="FFFFFF"/>
          <w:lang w:val="zh-CN" w:eastAsia="zh-CN" w:bidi="ar-SA"/>
        </w:rPr>
        <w:t>从节约改革成本的角度考虑，如果农村集体资产价值清晰，账实相符，村民代表大会决定不进行评估的，可不进行资产评估。</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outlineLvl w:val="9"/>
        <w:rPr>
          <w:rFonts w:ascii="黑体" w:hAnsi="黑体" w:eastAsia="黑体" w:cs="仿宋"/>
          <w:color w:val="333333"/>
          <w:kern w:val="0"/>
          <w:sz w:val="32"/>
          <w:szCs w:val="32"/>
          <w:highlight w:val="white"/>
          <w:lang w:val="zh-CN"/>
        </w:rPr>
      </w:pPr>
      <w:r>
        <w:rPr>
          <w:rFonts w:hint="eastAsia" w:ascii="黑体" w:hAnsi="黑体" w:eastAsia="黑体" w:cs="仿宋"/>
          <w:color w:val="333333"/>
          <w:kern w:val="0"/>
          <w:sz w:val="32"/>
          <w:szCs w:val="32"/>
          <w:highlight w:val="white"/>
          <w:lang w:val="zh-CN"/>
        </w:rPr>
        <w:t>三、资产评估的主体</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outlineLvl w:val="9"/>
        <w:rPr>
          <w:rFonts w:hint="eastAsia" w:ascii="仿宋_GB2312" w:hAnsi="仿宋_GB2312" w:eastAsia="仿宋_GB2312" w:cs="仿宋_GB2312"/>
          <w:color w:val="333333"/>
          <w:kern w:val="2"/>
          <w:sz w:val="32"/>
          <w:szCs w:val="32"/>
          <w:shd w:val="clear" w:color="auto" w:fill="FFFFFF"/>
          <w:lang w:val="zh-CN" w:eastAsia="zh-CN" w:bidi="ar-SA"/>
        </w:rPr>
      </w:pPr>
      <w:r>
        <w:rPr>
          <w:rFonts w:hint="eastAsia" w:ascii="仿宋_GB2312" w:hAnsi="仿宋_GB2312" w:eastAsia="仿宋_GB2312" w:cs="仿宋_GB2312"/>
          <w:color w:val="333333"/>
          <w:kern w:val="2"/>
          <w:sz w:val="32"/>
          <w:szCs w:val="32"/>
          <w:shd w:val="clear" w:color="auto" w:fill="FFFFFF"/>
          <w:lang w:val="zh-CN" w:eastAsia="zh-CN" w:bidi="ar-SA"/>
        </w:rPr>
        <w:t>资产评估的主体是指进行资产评估的专门人员和机构。</w:t>
      </w:r>
      <w:r>
        <w:rPr>
          <w:rFonts w:hint="eastAsia" w:ascii="仿宋_GB2312" w:hAnsi="仿宋_GB2312" w:eastAsia="仿宋_GB2312" w:cs="仿宋_GB2312"/>
          <w:color w:val="333333"/>
          <w:kern w:val="2"/>
          <w:sz w:val="32"/>
          <w:szCs w:val="32"/>
          <w:shd w:val="clear" w:color="auto" w:fill="FFFFFF"/>
          <w:lang w:val="en-US" w:eastAsia="zh-CN" w:bidi="ar-SA"/>
        </w:rPr>
        <w:t>资产估价和价值重估必须经成员（代表）大会民主讨论决定，</w:t>
      </w:r>
      <w:r>
        <w:rPr>
          <w:rFonts w:hint="eastAsia" w:ascii="仿宋_GB2312" w:hAnsi="仿宋_GB2312" w:eastAsia="仿宋_GB2312" w:cs="仿宋_GB2312"/>
          <w:color w:val="333333"/>
          <w:kern w:val="2"/>
          <w:sz w:val="32"/>
          <w:szCs w:val="32"/>
          <w:shd w:val="clear" w:color="auto" w:fill="FFFFFF"/>
          <w:lang w:val="zh-CN" w:eastAsia="zh-CN" w:bidi="ar-SA"/>
        </w:rPr>
        <w:t>一般由村集体经济组织选派评估组进行，或委托乡镇农村经营管理部门进行评估，也可聘请评估具有资质的中介机构负责，其结果需经成员民主表决通过。无论是谁来评估，都要对评估结果出具评估报告。</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537" w:firstLineChars="168"/>
        <w:textAlignment w:val="auto"/>
        <w:outlineLvl w:val="9"/>
        <w:rPr>
          <w:rFonts w:ascii="黑体" w:hAnsi="黑体" w:eastAsia="黑体" w:cs="仿宋"/>
          <w:color w:val="333333"/>
          <w:kern w:val="0"/>
          <w:sz w:val="32"/>
          <w:szCs w:val="32"/>
          <w:highlight w:val="white"/>
          <w:lang w:val="zh-CN"/>
        </w:rPr>
      </w:pPr>
      <w:r>
        <w:rPr>
          <w:rFonts w:hint="eastAsia" w:ascii="黑体" w:hAnsi="黑体" w:eastAsia="黑体" w:cs="仿宋"/>
          <w:color w:val="333333"/>
          <w:kern w:val="0"/>
          <w:sz w:val="32"/>
          <w:szCs w:val="32"/>
          <w:highlight w:val="white"/>
          <w:lang w:val="zh-CN"/>
        </w:rPr>
        <w:t>四、资产评估的方法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outlineLvl w:val="9"/>
        <w:rPr>
          <w:rFonts w:ascii="仿宋_GB2312" w:eastAsia="仿宋_GB2312"/>
          <w:color w:val="000000"/>
          <w:sz w:val="32"/>
          <w:szCs w:val="32"/>
          <w:lang w:val="zh-CN"/>
        </w:rPr>
      </w:pPr>
      <w:r>
        <w:rPr>
          <w:rFonts w:hint="eastAsia" w:ascii="仿宋_GB2312" w:hAnsi="仿宋_GB2312" w:eastAsia="仿宋_GB2312" w:cs="仿宋_GB2312"/>
          <w:color w:val="333333"/>
          <w:kern w:val="2"/>
          <w:sz w:val="32"/>
          <w:szCs w:val="32"/>
          <w:shd w:val="clear" w:color="auto" w:fill="FFFFFF"/>
          <w:lang w:val="zh-CN" w:eastAsia="zh-CN" w:bidi="ar-SA"/>
        </w:rPr>
        <w:t>资产评估方法是实现评定估算资产价值的技术手段。</w:t>
      </w:r>
    </w:p>
    <w:p>
      <w:pPr>
        <w:keepNext w:val="0"/>
        <w:keepLines w:val="0"/>
        <w:pageBreakBefore w:val="0"/>
        <w:widowControl w:val="0"/>
        <w:kinsoku/>
        <w:wordWrap/>
        <w:overflowPunct/>
        <w:topLinePunct w:val="0"/>
        <w:bidi w:val="0"/>
        <w:spacing w:line="600" w:lineRule="exact"/>
        <w:ind w:firstLine="643"/>
        <w:textAlignment w:val="auto"/>
        <w:outlineLvl w:val="9"/>
        <w:rPr>
          <w:rFonts w:ascii="仿宋" w:hAnsi="仿宋" w:eastAsia="仿宋"/>
          <w:b/>
          <w:sz w:val="32"/>
          <w:szCs w:val="32"/>
        </w:rPr>
      </w:pPr>
      <w:r>
        <w:rPr>
          <w:rFonts w:hint="eastAsia" w:ascii="仿宋" w:hAnsi="仿宋" w:eastAsia="仿宋"/>
          <w:b/>
          <w:sz w:val="32"/>
          <w:szCs w:val="32"/>
        </w:rPr>
        <w:t>（一）公益性评估。</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color w:val="333333"/>
          <w:kern w:val="2"/>
          <w:sz w:val="32"/>
          <w:szCs w:val="32"/>
          <w:shd w:val="clear" w:color="auto" w:fill="FFFFFF"/>
          <w:lang w:val="zh-CN" w:eastAsia="zh-CN" w:bidi="ar-SA"/>
        </w:rPr>
      </w:pPr>
      <w:r>
        <w:rPr>
          <w:rFonts w:hint="eastAsia" w:ascii="仿宋_GB2312" w:hAnsi="仿宋_GB2312" w:eastAsia="仿宋_GB2312" w:cs="仿宋_GB2312"/>
          <w:color w:val="333333"/>
          <w:kern w:val="2"/>
          <w:sz w:val="32"/>
          <w:szCs w:val="32"/>
          <w:shd w:val="clear" w:color="auto" w:fill="FFFFFF"/>
          <w:lang w:val="zh-CN" w:eastAsia="zh-CN" w:bidi="ar-SA"/>
        </w:rPr>
        <w:t>公益性评估是指非经营性资产不再产生二次价值的公益性投资资产。由村集体组织评估小组（评估小组五人以上，含村民代表）进行对非经营性资产现有价值的评估。</w:t>
      </w:r>
    </w:p>
    <w:p>
      <w:pPr>
        <w:keepNext w:val="0"/>
        <w:keepLines w:val="0"/>
        <w:pageBreakBefore w:val="0"/>
        <w:widowControl w:val="0"/>
        <w:kinsoku/>
        <w:wordWrap/>
        <w:overflowPunct/>
        <w:topLinePunct w:val="0"/>
        <w:bidi w:val="0"/>
        <w:spacing w:line="600" w:lineRule="exact"/>
        <w:ind w:firstLine="643" w:firstLineChars="200"/>
        <w:textAlignment w:val="auto"/>
        <w:outlineLvl w:val="9"/>
        <w:rPr>
          <w:rFonts w:ascii="仿宋" w:hAnsi="仿宋" w:eastAsia="仿宋"/>
          <w:b/>
          <w:sz w:val="32"/>
          <w:szCs w:val="32"/>
        </w:rPr>
      </w:pPr>
      <w:r>
        <w:rPr>
          <w:rFonts w:hint="eastAsia" w:ascii="仿宋" w:hAnsi="仿宋" w:eastAsia="仿宋"/>
          <w:b/>
          <w:sz w:val="32"/>
          <w:szCs w:val="32"/>
        </w:rPr>
        <w:t>（二）经营性评估。</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color w:val="333333"/>
          <w:kern w:val="2"/>
          <w:sz w:val="32"/>
          <w:szCs w:val="32"/>
          <w:shd w:val="clear" w:color="auto" w:fill="FFFFFF"/>
          <w:lang w:val="zh-CN" w:eastAsia="zh-CN" w:bidi="ar-SA"/>
        </w:rPr>
      </w:pPr>
      <w:r>
        <w:rPr>
          <w:rFonts w:hint="eastAsia" w:ascii="仿宋_GB2312" w:hAnsi="仿宋_GB2312" w:eastAsia="仿宋_GB2312" w:cs="仿宋_GB2312"/>
          <w:color w:val="333333"/>
          <w:kern w:val="2"/>
          <w:sz w:val="32"/>
          <w:szCs w:val="32"/>
          <w:shd w:val="clear" w:color="auto" w:fill="FFFFFF"/>
          <w:lang w:val="zh-CN" w:eastAsia="zh-CN" w:bidi="ar-SA"/>
        </w:rPr>
        <w:t>1、参考同行估价、投建相关手续为依据。对于没有争议的经营性资产，选举出村内涉及该行业的从业人员、村里能人代表或请该行业的专业人员进行评估。评估可采取下列评估方法：</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color w:val="333333"/>
          <w:kern w:val="2"/>
          <w:sz w:val="32"/>
          <w:szCs w:val="32"/>
          <w:shd w:val="clear" w:color="auto" w:fill="FFFFFF"/>
          <w:lang w:val="zh-CN" w:eastAsia="zh-CN" w:bidi="ar-SA"/>
        </w:rPr>
      </w:pPr>
      <w:r>
        <w:rPr>
          <w:rFonts w:hint="eastAsia" w:ascii="仿宋_GB2312" w:hAnsi="仿宋_GB2312" w:eastAsia="仿宋_GB2312" w:cs="仿宋_GB2312"/>
          <w:color w:val="333333"/>
          <w:kern w:val="2"/>
          <w:sz w:val="32"/>
          <w:szCs w:val="32"/>
          <w:shd w:val="clear" w:color="auto" w:fill="FFFFFF"/>
          <w:lang w:val="zh-CN" w:eastAsia="zh-CN" w:bidi="ar-SA"/>
        </w:rPr>
        <w:t>（1）重置成本法。重置成本法是指由现时条件下重新建造或购买一项全新状态的被评估资产所需的全部成本，减去该被评估资产的各种陈旧贬值后的差额，作为被评估现时价格的一种资产评估方法。采用重置成本法评估资产应具备的前提条件是：应当具备可利用的历史资料；形成评估资产的耗费是必须的。运用成本法评估资产一般按下列程序进行：先确定被评估资产，并估算重置成本；再确定被评估资产的使用年限；然后估算被评估资产的损耗或贬值；最后计算确定被评估资产的价值。其基本公式是：被评估资产的价格＝重置全价-实体性贬值-功能性贬值-经济性贬值。</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color w:val="333333"/>
          <w:kern w:val="2"/>
          <w:sz w:val="32"/>
          <w:szCs w:val="32"/>
          <w:shd w:val="clear" w:color="auto" w:fill="FFFFFF"/>
          <w:lang w:val="zh-CN" w:eastAsia="zh-CN" w:bidi="ar-SA"/>
        </w:rPr>
      </w:pPr>
      <w:r>
        <w:rPr>
          <w:rFonts w:hint="eastAsia" w:ascii="仿宋_GB2312" w:hAnsi="仿宋_GB2312" w:eastAsia="仿宋_GB2312" w:cs="仿宋_GB2312"/>
          <w:color w:val="333333"/>
          <w:kern w:val="2"/>
          <w:sz w:val="32"/>
          <w:szCs w:val="32"/>
          <w:shd w:val="clear" w:color="auto" w:fill="FFFFFF"/>
          <w:lang w:val="zh-CN" w:eastAsia="zh-CN" w:bidi="ar-SA"/>
        </w:rPr>
        <w:t>（2）收益法。又称收益现值法，是将被评估资产在剩余寿命内的预期收益，用适当的折现率折现为评估基准日的现值，并以此确定被评估资产价格的一种方法。应用收益法评估资产必须具备的前提条件是：被评估资产必须是能用货币衡量其未来期望收益的单项或整体资产；资产所有者所承担的风险也必须是能用货币衡量的。其运用程序为：先收集验证有关经营、财务状况的信息资料；再计算和对比分析有关指标及其变化趋势；然后预测资产未来预期收益，确定折现率或本金化率；最后将预期收益折现或本金化处理，确定出被评估资产价值。 </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color w:val="333333"/>
          <w:kern w:val="2"/>
          <w:sz w:val="32"/>
          <w:szCs w:val="32"/>
          <w:shd w:val="clear" w:color="auto" w:fill="FFFFFF"/>
          <w:lang w:val="zh-CN" w:eastAsia="zh-CN" w:bidi="ar-SA"/>
        </w:rPr>
      </w:pPr>
      <w:r>
        <w:rPr>
          <w:rFonts w:hint="eastAsia" w:ascii="仿宋_GB2312" w:hAnsi="仿宋_GB2312" w:eastAsia="仿宋_GB2312" w:cs="仿宋_GB2312"/>
          <w:color w:val="333333"/>
          <w:kern w:val="2"/>
          <w:sz w:val="32"/>
          <w:szCs w:val="32"/>
          <w:shd w:val="clear" w:color="auto" w:fill="FFFFFF"/>
          <w:lang w:val="zh-CN" w:eastAsia="zh-CN" w:bidi="ar-SA"/>
        </w:rPr>
        <w:t xml:space="preserve"> （3）现行市价法。是按市场现行价格为标准来确定资产价值的方法。该法也称市场价格比较法，通过被估资产与最近售出类似资产的比较，将类似资产的市场价格进行调整，从而确定被估资产的价值，其前提条件是需要有参照物资产与被估资产可比较的指标，参数资料可搜集到。运用市场法评估资产时，一般按下列步骤进行：首先明确评估对象；然后进行公开市场调查，收集相同或相类似资产的市场基本信息资料，寻找参照物；接下来把被评估资产与参照物比较，分析调整差异后得出结论。差异调整因素主要有时间因素，地域因素，功能因素。其基本公式是：评估价格＝市场交易参照物价格＋评估对象比参照物优异的价格差额－交易参照物比评估对象优异的价格差额；评估价格=参照物价格×（1＋调整系数）。</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color w:val="333333"/>
          <w:kern w:val="2"/>
          <w:sz w:val="32"/>
          <w:szCs w:val="32"/>
          <w:shd w:val="clear" w:color="auto" w:fill="FFFFFF"/>
          <w:lang w:val="zh-CN" w:eastAsia="zh-CN" w:bidi="ar-SA"/>
        </w:rPr>
      </w:pPr>
      <w:r>
        <w:rPr>
          <w:rFonts w:hint="eastAsia" w:ascii="仿宋_GB2312" w:hAnsi="仿宋_GB2312" w:eastAsia="仿宋_GB2312" w:cs="仿宋_GB2312"/>
          <w:color w:val="333333"/>
          <w:kern w:val="2"/>
          <w:sz w:val="32"/>
          <w:szCs w:val="32"/>
          <w:shd w:val="clear" w:color="auto" w:fill="FFFFFF"/>
          <w:lang w:val="zh-CN" w:eastAsia="zh-CN" w:bidi="ar-SA"/>
        </w:rPr>
        <w:t>（4）清算价格法。是指以清算价格为标准，对企业或资产进行的价格评估。而清算价格是指企业由于破产或其他原因，要求在一定期限内将企业或资产变现，在企业清算之日预期出卖资产可收回的快速变现价格。</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ascii="仿宋" w:hAnsi="仿宋" w:eastAsia="仿宋"/>
          <w:sz w:val="32"/>
          <w:szCs w:val="32"/>
          <w:lang w:val="zh-CN"/>
        </w:rPr>
      </w:pPr>
      <w:r>
        <w:rPr>
          <w:rFonts w:hint="eastAsia" w:ascii="仿宋_GB2312" w:hAnsi="仿宋_GB2312" w:eastAsia="仿宋_GB2312" w:cs="仿宋_GB2312"/>
          <w:color w:val="333333"/>
          <w:kern w:val="2"/>
          <w:sz w:val="32"/>
          <w:szCs w:val="32"/>
          <w:shd w:val="clear" w:color="auto" w:fill="FFFFFF"/>
          <w:lang w:val="zh-CN" w:eastAsia="zh-CN" w:bidi="ar-SA"/>
        </w:rPr>
        <w:t>2、有争议的经营性资产评估。对有争议的经营性资产可由提出争议方聘请有资质的专业评估公司进行评估，评估完成后交由相关政府主管部门审核确定</w:t>
      </w:r>
      <w:r>
        <w:rPr>
          <w:rFonts w:hint="eastAsia" w:ascii="仿宋" w:hAnsi="仿宋" w:eastAsia="仿宋"/>
          <w:sz w:val="32"/>
          <w:szCs w:val="32"/>
          <w:lang w:val="zh-CN"/>
        </w:rPr>
        <w:t>。</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ascii="黑体" w:hAnsi="黑体" w:eastAsia="黑体"/>
          <w:b w:val="0"/>
          <w:bCs/>
          <w:sz w:val="32"/>
          <w:szCs w:val="32"/>
          <w:lang w:val="zh-CN"/>
        </w:rPr>
      </w:pPr>
      <w:r>
        <w:rPr>
          <w:rFonts w:hint="eastAsia" w:ascii="黑体" w:hAnsi="黑体" w:eastAsia="黑体"/>
          <w:b w:val="0"/>
          <w:bCs/>
          <w:sz w:val="32"/>
          <w:szCs w:val="32"/>
          <w:lang w:val="zh-CN"/>
        </w:rPr>
        <w:t>五、评估结果确认</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zh-CN" w:eastAsia="zh-CN" w:bidi="ar-SA"/>
        </w:rPr>
        <w:t>对资产评估结果的审核确认，要以群众对资产评估结果认可为前提。在这个阶段，</w:t>
      </w:r>
      <w:r>
        <w:rPr>
          <w:rFonts w:hint="eastAsia" w:ascii="仿宋_GB2312" w:hAnsi="仿宋_GB2312" w:eastAsia="仿宋_GB2312" w:cs="仿宋_GB2312"/>
          <w:color w:val="333333"/>
          <w:kern w:val="2"/>
          <w:sz w:val="32"/>
          <w:szCs w:val="32"/>
          <w:shd w:val="clear" w:color="auto" w:fill="FFFFFF"/>
          <w:lang w:val="en-US" w:eastAsia="zh-CN" w:bidi="ar-SA"/>
        </w:rPr>
        <w:t>严格执行国家有关政策和技术标准，坚持实事求是，</w:t>
      </w:r>
      <w:r>
        <w:rPr>
          <w:rFonts w:hint="eastAsia" w:ascii="仿宋_GB2312" w:hAnsi="仿宋_GB2312" w:eastAsia="仿宋_GB2312" w:cs="仿宋_GB2312"/>
          <w:color w:val="333333"/>
          <w:kern w:val="2"/>
          <w:sz w:val="32"/>
          <w:szCs w:val="32"/>
          <w:shd w:val="clear" w:color="auto" w:fill="FFFFFF"/>
          <w:lang w:val="zh-CN" w:eastAsia="zh-CN" w:bidi="ar-SA"/>
        </w:rPr>
        <w:t>认真履行民主程序，召开村民代表大会对评估结果进行确认，</w:t>
      </w:r>
      <w:r>
        <w:rPr>
          <w:rFonts w:hint="eastAsia" w:ascii="仿宋_GB2312" w:hAnsi="仿宋_GB2312" w:eastAsia="仿宋_GB2312" w:cs="仿宋_GB2312"/>
          <w:color w:val="333333"/>
          <w:kern w:val="2"/>
          <w:sz w:val="32"/>
          <w:szCs w:val="32"/>
          <w:shd w:val="clear" w:color="auto" w:fill="FFFFFF"/>
          <w:lang w:val="en-US" w:eastAsia="zh-CN" w:bidi="ar-SA"/>
        </w:rPr>
        <w:t>不得随意多估或少估，并在乡镇农村经营管理部门备案。</w:t>
      </w:r>
    </w:p>
    <w:p>
      <w:pPr>
        <w:tabs>
          <w:tab w:val="left" w:pos="518"/>
        </w:tabs>
        <w:jc w:val="left"/>
        <w:rPr>
          <w:rFonts w:hint="eastAsia"/>
          <w:lang w:val="en-US" w:eastAsia="zh-CN"/>
        </w:rPr>
      </w:pPr>
    </w:p>
    <w:p>
      <w:pPr>
        <w:tabs>
          <w:tab w:val="left" w:pos="518"/>
        </w:tabs>
        <w:jc w:val="left"/>
        <w:rPr>
          <w:rFonts w:hint="eastAsia"/>
          <w:lang w:val="en-US" w:eastAsia="zh-CN"/>
        </w:rPr>
      </w:pPr>
    </w:p>
    <w:p>
      <w:pPr>
        <w:tabs>
          <w:tab w:val="left" w:pos="518"/>
        </w:tabs>
        <w:jc w:val="left"/>
        <w:rPr>
          <w:rFonts w:hint="eastAsia"/>
          <w:lang w:val="en-US" w:eastAsia="zh-CN"/>
        </w:rPr>
      </w:pPr>
    </w:p>
    <w:p>
      <w:pPr>
        <w:tabs>
          <w:tab w:val="left" w:pos="518"/>
        </w:tabs>
        <w:jc w:val="left"/>
        <w:rPr>
          <w:rFonts w:hint="eastAsia"/>
          <w:lang w:val="en-US" w:eastAsia="zh-CN"/>
        </w:rPr>
      </w:pPr>
    </w:p>
    <w:p>
      <w:pPr>
        <w:tabs>
          <w:tab w:val="left" w:pos="518"/>
        </w:tabs>
        <w:jc w:val="left"/>
        <w:rPr>
          <w:rFonts w:hint="eastAsia"/>
          <w:lang w:val="en-US" w:eastAsia="zh-CN"/>
        </w:rPr>
      </w:pPr>
    </w:p>
    <w:p>
      <w:pPr>
        <w:tabs>
          <w:tab w:val="left" w:pos="518"/>
        </w:tabs>
        <w:jc w:val="left"/>
        <w:rPr>
          <w:rFonts w:hint="eastAsia"/>
          <w:lang w:val="en-US" w:eastAsia="zh-CN"/>
        </w:rPr>
      </w:pPr>
    </w:p>
    <w:p>
      <w:pPr>
        <w:tabs>
          <w:tab w:val="left" w:pos="518"/>
        </w:tabs>
        <w:jc w:val="left"/>
        <w:rPr>
          <w:rFonts w:hint="eastAsia"/>
          <w:lang w:val="en-US" w:eastAsia="zh-CN"/>
        </w:rPr>
      </w:pPr>
    </w:p>
    <w:p>
      <w:pPr>
        <w:tabs>
          <w:tab w:val="left" w:pos="518"/>
        </w:tabs>
        <w:jc w:val="left"/>
        <w:rPr>
          <w:rFonts w:hint="eastAsia"/>
          <w:lang w:val="en-US" w:eastAsia="zh-CN"/>
        </w:rPr>
      </w:pPr>
    </w:p>
    <w:p>
      <w:pPr>
        <w:tabs>
          <w:tab w:val="left" w:pos="518"/>
        </w:tabs>
        <w:jc w:val="left"/>
        <w:rPr>
          <w:rFonts w:hint="eastAsia"/>
          <w:lang w:val="en-US" w:eastAsia="zh-CN"/>
        </w:rPr>
      </w:pPr>
    </w:p>
    <w:p>
      <w:pPr>
        <w:tabs>
          <w:tab w:val="left" w:pos="518"/>
        </w:tabs>
        <w:jc w:val="left"/>
        <w:rPr>
          <w:rFonts w:hint="eastAsia"/>
          <w:lang w:val="en-US" w:eastAsia="zh-CN"/>
        </w:rPr>
      </w:pPr>
    </w:p>
    <w:p>
      <w:pPr>
        <w:tabs>
          <w:tab w:val="left" w:pos="518"/>
        </w:tabs>
        <w:jc w:val="left"/>
        <w:rPr>
          <w:rFonts w:hint="eastAsia"/>
          <w:lang w:val="en-US" w:eastAsia="zh-CN"/>
        </w:rPr>
      </w:pPr>
    </w:p>
    <w:p>
      <w:pPr>
        <w:spacing w:line="560" w:lineRule="exact"/>
        <w:jc w:val="center"/>
        <w:rPr>
          <w:rFonts w:hint="eastAsia" w:ascii="方正小标宋简体" w:hAnsi="方正小标宋简体" w:eastAsia="方正小标宋简体" w:cs="方正小标宋简体"/>
          <w:b/>
          <w:bCs/>
          <w:sz w:val="44"/>
          <w:szCs w:val="44"/>
        </w:rPr>
      </w:pPr>
    </w:p>
    <w:p>
      <w:pPr>
        <w:spacing w:line="560" w:lineRule="exact"/>
        <w:jc w:val="center"/>
        <w:rPr>
          <w:rFonts w:hint="eastAsia" w:ascii="方正小标宋简体" w:hAnsi="方正小标宋简体" w:eastAsia="方正小标宋简体" w:cs="方正小标宋简体"/>
          <w:b/>
          <w:bCs/>
          <w:sz w:val="44"/>
          <w:szCs w:val="44"/>
        </w:rPr>
      </w:pPr>
    </w:p>
    <w:p>
      <w:pPr>
        <w:spacing w:line="1620" w:lineRule="exact"/>
        <w:jc w:val="center"/>
        <w:rPr>
          <w:rFonts w:hint="eastAsia" w:ascii="方正小标宋简体" w:hAnsi="宋体" w:eastAsia="方正小标宋简体" w:cs="Times New Roman"/>
          <w:b/>
          <w:bCs/>
          <w:color w:val="FF0000"/>
          <w:spacing w:val="22"/>
          <w:w w:val="50"/>
          <w:sz w:val="80"/>
          <w:szCs w:val="80"/>
          <w:lang w:eastAsia="zh-CN"/>
        </w:rPr>
      </w:pPr>
      <w:r>
        <w:rPr>
          <w:rFonts w:hint="eastAsia" w:ascii="方正小标宋简体" w:hAnsi="宋体" w:eastAsia="方正小标宋简体" w:cs="Times New Roman"/>
          <w:b/>
          <w:bCs/>
          <w:color w:val="FF0000"/>
          <w:spacing w:val="23"/>
          <w:w w:val="46"/>
          <w:sz w:val="80"/>
          <w:szCs w:val="80"/>
          <w:lang w:eastAsia="zh-CN"/>
        </w:rPr>
        <w:t>馆陶县农村集体产权制度改革领导小组文件</w:t>
      </w:r>
    </w:p>
    <w:p>
      <w:pPr>
        <w:spacing w:line="560" w:lineRule="exact"/>
        <w:jc w:val="center"/>
        <w:rPr>
          <w:rFonts w:hint="eastAsia" w:ascii="创艺简粗黑" w:hAnsi="创艺简粗黑" w:eastAsia="创艺简粗黑" w:cs="创艺简粗黑"/>
          <w:b/>
          <w:bCs/>
          <w:color w:val="FF0000"/>
          <w:w w:val="80"/>
          <w:kern w:val="16"/>
          <w:sz w:val="56"/>
          <w:szCs w:val="56"/>
        </w:rPr>
      </w:pPr>
    </w:p>
    <w:p>
      <w:pPr>
        <w:spacing w:line="560" w:lineRule="exact"/>
        <w:jc w:val="center"/>
        <w:rPr>
          <w:rFonts w:hint="eastAsia" w:ascii="方正小标宋简体" w:hAnsi="方正小标宋简体" w:eastAsia="方正小标宋简体" w:cs="方正小标宋简体"/>
          <w:b/>
          <w:bCs/>
          <w:w w:val="108"/>
          <w:sz w:val="60"/>
          <w:szCs w:val="60"/>
        </w:rPr>
      </w:pPr>
    </w:p>
    <w:p>
      <w:pPr>
        <w:spacing w:line="560" w:lineRule="exact"/>
        <w:jc w:val="center"/>
        <w:rPr>
          <w:rFonts w:hint="eastAsia" w:ascii="方正小标宋简体" w:hAnsi="方正小标宋简体" w:eastAsia="方正小标宋简体" w:cs="方正小标宋简体"/>
          <w:b/>
          <w:bCs/>
          <w:w w:val="108"/>
          <w:sz w:val="44"/>
          <w:szCs w:val="44"/>
        </w:rPr>
      </w:pPr>
    </w:p>
    <w:p>
      <w:pPr>
        <w:spacing w:line="560" w:lineRule="exact"/>
        <w:jc w:val="center"/>
        <w:rPr>
          <w:rFonts w:hint="eastAsia" w:ascii="仿宋_GB2312" w:hAnsi="仿宋_GB2312" w:eastAsia="仿宋_GB2312" w:cs="仿宋_GB2312"/>
          <w:b/>
          <w:bCs/>
          <w:i w:val="0"/>
          <w:iCs w:val="0"/>
          <w:sz w:val="32"/>
          <w:szCs w:val="32"/>
          <w:u w:val="none"/>
        </w:rPr>
      </w:pPr>
      <w:r>
        <w:rPr>
          <w:rFonts w:hint="eastAsia" w:ascii="仿宋_GB2312" w:hAnsi="仿宋_GB2312" w:eastAsia="仿宋_GB2312" w:cs="仿宋_GB2312"/>
          <w:b/>
          <w:bCs/>
          <w:i w:val="0"/>
          <w:iCs w:val="0"/>
          <w:sz w:val="32"/>
          <w:szCs w:val="32"/>
          <w:u w:val="none"/>
        </w:rPr>
        <w:t>馆农改〔201</w:t>
      </w:r>
      <w:r>
        <w:rPr>
          <w:rFonts w:hint="eastAsia" w:ascii="仿宋_GB2312" w:hAnsi="仿宋_GB2312" w:eastAsia="仿宋_GB2312" w:cs="仿宋_GB2312"/>
          <w:b/>
          <w:bCs/>
          <w:i w:val="0"/>
          <w:iCs w:val="0"/>
          <w:sz w:val="32"/>
          <w:szCs w:val="32"/>
          <w:u w:val="none"/>
          <w:lang w:val="en-US" w:eastAsia="zh-CN"/>
        </w:rPr>
        <w:t>8</w:t>
      </w:r>
      <w:r>
        <w:rPr>
          <w:rFonts w:hint="eastAsia" w:ascii="仿宋_GB2312" w:hAnsi="仿宋_GB2312" w:eastAsia="仿宋_GB2312" w:cs="仿宋_GB2312"/>
          <w:b/>
          <w:bCs/>
          <w:i w:val="0"/>
          <w:iCs w:val="0"/>
          <w:sz w:val="32"/>
          <w:szCs w:val="32"/>
          <w:u w:val="none"/>
        </w:rPr>
        <w:t>〕</w:t>
      </w:r>
      <w:r>
        <w:rPr>
          <w:rFonts w:hint="eastAsia" w:ascii="仿宋_GB2312" w:hAnsi="仿宋_GB2312" w:eastAsia="仿宋_GB2312" w:cs="仿宋_GB2312"/>
          <w:b/>
          <w:bCs/>
          <w:i w:val="0"/>
          <w:iCs w:val="0"/>
          <w:sz w:val="32"/>
          <w:szCs w:val="32"/>
          <w:u w:val="none"/>
          <w:lang w:val="en-US" w:eastAsia="zh-CN"/>
        </w:rPr>
        <w:t>2</w:t>
      </w:r>
      <w:r>
        <w:rPr>
          <w:rFonts w:hint="eastAsia" w:ascii="仿宋_GB2312" w:hAnsi="仿宋_GB2312" w:eastAsia="仿宋_GB2312" w:cs="仿宋_GB2312"/>
          <w:b/>
          <w:bCs/>
          <w:i w:val="0"/>
          <w:iCs w:val="0"/>
          <w:sz w:val="32"/>
          <w:szCs w:val="32"/>
          <w:u w:val="none"/>
        </w:rPr>
        <w:t>号</w:t>
      </w: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Cs/>
          <w:w w:val="108"/>
          <w:sz w:val="44"/>
          <w:szCs w:val="44"/>
          <w:lang w:eastAsia="zh-CN"/>
        </w:rPr>
        <w:t>—————————————————</w:t>
      </w:r>
    </w:p>
    <w:p>
      <w:pPr>
        <w:spacing w:line="560" w:lineRule="exact"/>
        <w:rPr>
          <w:rFonts w:ascii="方正小标宋简体" w:hAnsi="方正小标宋简体" w:eastAsia="方正小标宋简体" w:cs="方正小标宋简体"/>
          <w:b/>
          <w:bCs/>
          <w:sz w:val="44"/>
          <w:szCs w:val="44"/>
        </w:rPr>
      </w:pPr>
    </w:p>
    <w:p>
      <w:pPr>
        <w:spacing w:line="56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馆陶县农村集体产权制度改革工作领导小组</w:t>
      </w:r>
    </w:p>
    <w:p>
      <w:pPr>
        <w:pStyle w:val="6"/>
        <w:widowControl/>
        <w:spacing w:beforeAutospacing="0" w:afterAutospacing="0" w:line="600" w:lineRule="exact"/>
        <w:jc w:val="center"/>
        <w:rPr>
          <w:rFonts w:ascii="方正小标宋简体" w:hAnsi="宋体" w:eastAsia="方正小标宋简体" w:cs="宋体"/>
          <w:b/>
          <w:color w:val="000000"/>
          <w:sz w:val="44"/>
          <w:szCs w:val="44"/>
          <w:shd w:val="clear" w:color="auto" w:fill="FFFFFF"/>
        </w:rPr>
      </w:pPr>
      <w:r>
        <w:rPr>
          <w:rFonts w:hint="eastAsia" w:ascii="方正小标宋简体" w:hAnsi="新宋体" w:eastAsia="方正小标宋简体"/>
          <w:b/>
          <w:sz w:val="44"/>
          <w:szCs w:val="44"/>
        </w:rPr>
        <w:t>关于</w:t>
      </w:r>
      <w:r>
        <w:rPr>
          <w:rFonts w:hint="eastAsia" w:ascii="方正小标宋简体" w:hAnsi="新宋体" w:eastAsia="方正小标宋简体"/>
          <w:b/>
          <w:sz w:val="44"/>
          <w:szCs w:val="44"/>
          <w:lang w:val="en-US" w:eastAsia="zh-CN"/>
        </w:rPr>
        <w:t>做好</w:t>
      </w:r>
      <w:r>
        <w:rPr>
          <w:rFonts w:hint="eastAsia" w:ascii="方正小标宋简体" w:hAnsi="方正小标宋简体" w:eastAsia="方正小标宋简体" w:cs="方正小标宋简体"/>
          <w:b/>
          <w:bCs/>
          <w:sz w:val="44"/>
          <w:szCs w:val="44"/>
        </w:rPr>
        <w:t>农村集体</w:t>
      </w:r>
      <w:r>
        <w:rPr>
          <w:rFonts w:hint="eastAsia" w:ascii="方正小标宋简体" w:hAnsi="方正小标宋简体" w:eastAsia="方正小标宋简体" w:cs="方正小标宋简体"/>
          <w:b/>
          <w:bCs/>
          <w:sz w:val="44"/>
          <w:szCs w:val="44"/>
          <w:lang w:eastAsia="zh-CN"/>
        </w:rPr>
        <w:t>资产清产核资工作的补充</w:t>
      </w:r>
      <w:r>
        <w:rPr>
          <w:rFonts w:hint="eastAsia" w:ascii="方正小标宋简体" w:hAnsi="宋体" w:eastAsia="方正小标宋简体" w:cs="宋体"/>
          <w:b/>
          <w:color w:val="000000"/>
          <w:sz w:val="44"/>
          <w:szCs w:val="44"/>
          <w:shd w:val="clear" w:color="auto" w:fill="FFFFFF"/>
        </w:rPr>
        <w:t>通</w:t>
      </w:r>
      <w:r>
        <w:rPr>
          <w:rFonts w:hint="eastAsia" w:ascii="方正小标宋简体" w:hAnsi="宋体" w:eastAsia="方正小标宋简体" w:cs="宋体"/>
          <w:b/>
          <w:color w:val="000000"/>
          <w:sz w:val="44"/>
          <w:szCs w:val="44"/>
          <w:shd w:val="clear" w:color="auto" w:fill="FFFFFF"/>
          <w:lang w:val="en-US" w:eastAsia="zh-CN"/>
        </w:rPr>
        <w:t xml:space="preserve"> </w:t>
      </w:r>
      <w:r>
        <w:rPr>
          <w:rFonts w:hint="eastAsia" w:ascii="方正小标宋简体" w:hAnsi="宋体" w:eastAsia="方正小标宋简体" w:cs="宋体"/>
          <w:b/>
          <w:color w:val="000000"/>
          <w:sz w:val="44"/>
          <w:szCs w:val="44"/>
          <w:shd w:val="clear" w:color="auto" w:fill="FFFFFF"/>
        </w:rPr>
        <w:t>知</w:t>
      </w:r>
    </w:p>
    <w:p>
      <w:pPr>
        <w:spacing w:line="600" w:lineRule="exact"/>
        <w:jc w:val="center"/>
        <w:rPr>
          <w:rFonts w:hint="eastAsia" w:ascii="方正小标宋简体" w:hAnsi="新宋体" w:eastAsia="方正小标宋简体"/>
          <w:b/>
          <w:sz w:val="44"/>
          <w:szCs w:val="44"/>
        </w:rPr>
      </w:pPr>
    </w:p>
    <w:p>
      <w:pPr>
        <w:pStyle w:val="6"/>
        <w:widowControl/>
        <w:spacing w:beforeAutospacing="0" w:afterAutospacing="0"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各乡镇党委，县直各部门，县直各单位党委（党组）、党支、支部，经济开发区党工委：</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_GB2312" w:eastAsia="仿宋_GB2312" w:cs="仿宋_GB2312"/>
          <w:color w:val="333333"/>
          <w:kern w:val="2"/>
          <w:sz w:val="32"/>
          <w:szCs w:val="32"/>
          <w:shd w:val="clear" w:color="auto" w:fill="FFFFFF"/>
          <w:lang w:eastAsia="zh-CN"/>
        </w:rPr>
        <w:t>根据</w:t>
      </w:r>
      <w:r>
        <w:rPr>
          <w:rFonts w:hint="eastAsia" w:ascii="仿宋_GB2312" w:hAnsi="仿宋_GB2312" w:eastAsia="仿宋_GB2312" w:cs="仿宋_GB2312"/>
          <w:sz w:val="32"/>
          <w:szCs w:val="32"/>
        </w:rPr>
        <w:t>《农业部财政部国土资源部水利部国家林业局教育部  文化部国家卫生计生委体育总局关于全面开展农村集体资产清产核资工作的通知》</w:t>
      </w:r>
      <w:r>
        <w:rPr>
          <w:rFonts w:hint="eastAsia" w:ascii="仿宋_GB2312" w:hAnsi="仿宋_GB2312" w:eastAsia="仿宋_GB2312" w:cs="仿宋_GB2312"/>
          <w:sz w:val="32"/>
          <w:szCs w:val="32"/>
          <w:lang w:eastAsia="zh-CN"/>
        </w:rPr>
        <w:t>（农经发〔2017〕11号）要求，“</w:t>
      </w:r>
      <w:r>
        <w:rPr>
          <w:rFonts w:hint="eastAsia" w:ascii="仿宋_GB2312" w:hAnsi="仿宋" w:eastAsia="仿宋_GB2312"/>
          <w:sz w:val="32"/>
          <w:szCs w:val="32"/>
        </w:rPr>
        <w:t>全国农村集体资产清产核资工作，自2017年开始，到2019年底结束。2017年12月31日为资产清查登记时点。前期已部署并完成农村集体资产清产核资工作的地方，要按照本次部署和要求，做好资产清查核实和数据填报工作。</w:t>
      </w:r>
      <w:r>
        <w:rPr>
          <w:rFonts w:hint="eastAsia" w:ascii="仿宋_GB2312" w:hAnsi="仿宋" w:eastAsia="仿宋_GB2312"/>
          <w:sz w:val="32"/>
          <w:szCs w:val="32"/>
          <w:lang w:eastAsia="zh-CN"/>
        </w:rPr>
        <w:t>”现就我县农村集体资产清产核资工作有关事项通知如下：</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一、农村集体</w:t>
      </w:r>
      <w:r>
        <w:rPr>
          <w:rFonts w:hint="eastAsia" w:ascii="黑体" w:hAnsi="黑体" w:eastAsia="黑体" w:cs="黑体"/>
          <w:sz w:val="32"/>
          <w:szCs w:val="32"/>
        </w:rPr>
        <w:t>资产清查登记时点</w:t>
      </w:r>
      <w:r>
        <w:rPr>
          <w:rFonts w:hint="eastAsia" w:ascii="黑体" w:hAnsi="黑体" w:eastAsia="黑体" w:cs="黑体"/>
          <w:sz w:val="32"/>
          <w:szCs w:val="32"/>
          <w:lang w:eastAsia="zh-CN"/>
        </w:rPr>
        <w:t>调整</w:t>
      </w:r>
    </w:p>
    <w:p>
      <w:pPr>
        <w:keepNext w:val="0"/>
        <w:keepLines w:val="0"/>
        <w:pageBreakBefore w:val="0"/>
        <w:widowControl w:val="0"/>
        <w:kinsoku/>
        <w:wordWrap/>
        <w:overflowPunct/>
        <w:topLinePunct w:val="0"/>
        <w:autoSpaceDE/>
        <w:autoSpaceDN/>
        <w:bidi w:val="0"/>
        <w:adjustRightInd/>
        <w:spacing w:line="620" w:lineRule="exact"/>
        <w:ind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我县开展农村集体产权制度改革工作</w:t>
      </w:r>
      <w:r>
        <w:rPr>
          <w:rFonts w:hint="eastAsia" w:ascii="仿宋_GB2312" w:eastAsia="仿宋_GB2312"/>
          <w:sz w:val="32"/>
          <w:szCs w:val="32"/>
          <w:lang w:eastAsia="zh-CN"/>
        </w:rPr>
        <w:t>较</w:t>
      </w:r>
      <w:r>
        <w:rPr>
          <w:rFonts w:hint="eastAsia" w:ascii="仿宋_GB2312" w:eastAsia="仿宋_GB2312"/>
          <w:sz w:val="32"/>
          <w:szCs w:val="32"/>
        </w:rPr>
        <w:t>早，</w:t>
      </w: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w:t>
      </w:r>
      <w:r>
        <w:rPr>
          <w:rFonts w:hint="eastAsia" w:ascii="仿宋_GB2312" w:eastAsia="仿宋_GB2312"/>
          <w:sz w:val="32"/>
          <w:szCs w:val="32"/>
          <w:lang w:val="en-US" w:eastAsia="zh-CN"/>
        </w:rPr>
        <w:t>1日全面推进</w:t>
      </w:r>
      <w:r>
        <w:rPr>
          <w:rFonts w:hint="eastAsia" w:ascii="仿宋_GB2312" w:eastAsia="仿宋_GB2312"/>
          <w:sz w:val="32"/>
          <w:szCs w:val="32"/>
        </w:rPr>
        <w:t>，制定</w:t>
      </w:r>
      <w:r>
        <w:rPr>
          <w:rFonts w:hint="eastAsia" w:ascii="仿宋_GB2312" w:eastAsia="仿宋_GB2312"/>
          <w:sz w:val="32"/>
          <w:szCs w:val="32"/>
          <w:lang w:eastAsia="zh-CN"/>
        </w:rPr>
        <w:t>了</w:t>
      </w:r>
      <w:r>
        <w:rPr>
          <w:rFonts w:hint="eastAsia" w:ascii="仿宋_GB2312" w:eastAsia="仿宋_GB2312"/>
          <w:sz w:val="32"/>
          <w:szCs w:val="32"/>
        </w:rPr>
        <w:t>《</w:t>
      </w:r>
      <w:r>
        <w:rPr>
          <w:rFonts w:hint="eastAsia" w:ascii="仿宋_GB2312" w:eastAsia="仿宋_GB2312"/>
          <w:sz w:val="32"/>
          <w:szCs w:val="32"/>
          <w:lang w:eastAsia="zh-CN"/>
        </w:rPr>
        <w:t>馆陶县</w:t>
      </w:r>
      <w:r>
        <w:rPr>
          <w:rFonts w:hint="eastAsia" w:ascii="仿宋_GB2312" w:eastAsia="仿宋_GB2312"/>
          <w:sz w:val="32"/>
          <w:szCs w:val="32"/>
        </w:rPr>
        <w:t>农村集体资产清产核资</w:t>
      </w:r>
      <w:r>
        <w:rPr>
          <w:rFonts w:hint="eastAsia" w:ascii="仿宋_GB2312" w:eastAsia="仿宋_GB2312"/>
          <w:sz w:val="32"/>
          <w:szCs w:val="32"/>
          <w:lang w:eastAsia="zh-CN"/>
        </w:rPr>
        <w:t>工作</w:t>
      </w:r>
      <w:r>
        <w:rPr>
          <w:rFonts w:hint="eastAsia" w:ascii="仿宋_GB2312" w:eastAsia="仿宋_GB2312"/>
          <w:sz w:val="32"/>
          <w:szCs w:val="32"/>
        </w:rPr>
        <w:t>实施方案》</w:t>
      </w:r>
      <w:r>
        <w:rPr>
          <w:rFonts w:hint="eastAsia" w:ascii="仿宋_GB2312" w:eastAsia="仿宋_GB2312"/>
          <w:sz w:val="32"/>
          <w:szCs w:val="32"/>
          <w:lang w:eastAsia="zh-CN"/>
        </w:rPr>
        <w:t>，</w:t>
      </w:r>
      <w:r>
        <w:rPr>
          <w:rFonts w:hint="eastAsia" w:ascii="仿宋_GB2312" w:eastAsia="仿宋_GB2312"/>
          <w:sz w:val="32"/>
          <w:szCs w:val="32"/>
        </w:rPr>
        <w:t>规定</w:t>
      </w:r>
      <w:r>
        <w:rPr>
          <w:rFonts w:hint="eastAsia" w:ascii="仿宋_GB2312" w:eastAsia="仿宋_GB2312"/>
          <w:sz w:val="32"/>
          <w:szCs w:val="32"/>
          <w:lang w:eastAsia="zh-CN"/>
        </w:rPr>
        <w:t>资产清查</w:t>
      </w:r>
      <w:r>
        <w:rPr>
          <w:rFonts w:hint="eastAsia" w:ascii="仿宋_GB2312" w:eastAsia="仿宋_GB2312"/>
          <w:sz w:val="32"/>
          <w:szCs w:val="32"/>
        </w:rPr>
        <w:t>登记时点是</w:t>
      </w: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10</w:t>
      </w:r>
      <w:r>
        <w:rPr>
          <w:rFonts w:hint="eastAsia" w:ascii="仿宋_GB2312" w:eastAsia="仿宋_GB2312"/>
          <w:sz w:val="32"/>
          <w:szCs w:val="32"/>
        </w:rPr>
        <w:t>月31日</w:t>
      </w:r>
      <w:r>
        <w:rPr>
          <w:rFonts w:hint="eastAsia" w:ascii="仿宋_GB2312" w:eastAsia="仿宋_GB2312"/>
          <w:sz w:val="32"/>
          <w:szCs w:val="32"/>
          <w:lang w:eastAsia="zh-CN"/>
        </w:rPr>
        <w:t>，开展了</w:t>
      </w:r>
      <w:r>
        <w:rPr>
          <w:rFonts w:hint="eastAsia" w:ascii="仿宋_GB2312" w:eastAsia="仿宋_GB2312"/>
          <w:sz w:val="32"/>
          <w:szCs w:val="32"/>
        </w:rPr>
        <w:t>农村集体资产清产核资</w:t>
      </w:r>
      <w:r>
        <w:rPr>
          <w:rFonts w:hint="eastAsia" w:ascii="仿宋_GB2312" w:eastAsia="仿宋_GB2312"/>
          <w:sz w:val="32"/>
          <w:szCs w:val="32"/>
          <w:lang w:eastAsia="zh-CN"/>
        </w:rPr>
        <w:t>工作</w:t>
      </w:r>
      <w:r>
        <w:rPr>
          <w:rFonts w:hint="eastAsia" w:ascii="仿宋_GB2312" w:eastAsia="仿宋_GB2312"/>
          <w:sz w:val="32"/>
          <w:szCs w:val="32"/>
        </w:rPr>
        <w:t>。</w:t>
      </w:r>
      <w:r>
        <w:rPr>
          <w:rFonts w:hint="eastAsia" w:ascii="仿宋_GB2312" w:eastAsia="仿宋_GB2312"/>
          <w:sz w:val="32"/>
          <w:szCs w:val="32"/>
          <w:lang w:eastAsia="zh-CN"/>
        </w:rPr>
        <w:t>各乡镇要</w:t>
      </w:r>
      <w:r>
        <w:rPr>
          <w:rFonts w:hint="eastAsia" w:ascii="仿宋_GB2312" w:eastAsia="仿宋_GB2312"/>
          <w:sz w:val="32"/>
          <w:szCs w:val="32"/>
        </w:rPr>
        <w:t>按照</w:t>
      </w:r>
      <w:r>
        <w:rPr>
          <w:rFonts w:hint="eastAsia" w:ascii="仿宋_GB2312" w:eastAsia="仿宋_GB2312"/>
          <w:sz w:val="32"/>
          <w:szCs w:val="32"/>
          <w:lang w:eastAsia="zh-CN"/>
        </w:rPr>
        <w:t>农业部的</w:t>
      </w:r>
      <w:r>
        <w:rPr>
          <w:rFonts w:hint="eastAsia" w:ascii="仿宋_GB2312" w:eastAsia="仿宋_GB2312"/>
          <w:sz w:val="32"/>
          <w:szCs w:val="32"/>
        </w:rPr>
        <w:t>部署和要求，以2017年12月31日为清产核资登记时点，做好资产清查核实和数据填报工作。</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二、农村集体资产清产核资报表调整</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eastAsia="仿宋_GB2312"/>
          <w:sz w:val="32"/>
          <w:szCs w:val="32"/>
          <w:lang w:eastAsia="zh-CN"/>
        </w:rPr>
        <w:t>农村集体资产</w:t>
      </w:r>
      <w:r>
        <w:rPr>
          <w:rFonts w:hint="eastAsia" w:ascii="仿宋_GB2312" w:eastAsia="仿宋_GB2312"/>
          <w:sz w:val="32"/>
          <w:szCs w:val="32"/>
        </w:rPr>
        <w:t>清产核资</w:t>
      </w:r>
      <w:r>
        <w:rPr>
          <w:rFonts w:hint="eastAsia" w:ascii="仿宋_GB2312" w:eastAsia="仿宋_GB2312"/>
          <w:sz w:val="32"/>
          <w:szCs w:val="32"/>
          <w:lang w:eastAsia="zh-CN"/>
        </w:rPr>
        <w:t>数据填报工作，要</w:t>
      </w:r>
      <w:r>
        <w:rPr>
          <w:rFonts w:hint="eastAsia" w:ascii="仿宋_GB2312" w:hAnsi="仿宋_GB2312" w:eastAsia="仿宋_GB2312" w:cs="仿宋_GB2312"/>
          <w:sz w:val="32"/>
          <w:szCs w:val="32"/>
          <w:lang w:eastAsia="zh-CN"/>
        </w:rPr>
        <w:t>按照农业部制定的《农村集体资产清产核资报表》格式进行调整填报。</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三、农村集体资产清产核资工作步骤时间调整</w:t>
      </w:r>
    </w:p>
    <w:p>
      <w:pPr>
        <w:pStyle w:val="3"/>
        <w:keepNext w:val="0"/>
        <w:keepLines w:val="0"/>
        <w:pageBreakBefore w:val="0"/>
        <w:widowControl w:val="0"/>
        <w:kinsoku/>
        <w:wordWrap/>
        <w:overflowPunct/>
        <w:topLinePunct w:val="0"/>
        <w:autoSpaceDE/>
        <w:autoSpaceDN/>
        <w:bidi w:val="0"/>
        <w:adjustRightInd/>
        <w:snapToGrid/>
        <w:spacing w:line="600" w:lineRule="exact"/>
        <w:ind w:firstLine="964" w:firstLineChars="300"/>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一）准备阶段（2017年1</w:t>
      </w: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月</w:t>
      </w:r>
      <w:r>
        <w:rPr>
          <w:rFonts w:hint="eastAsia" w:ascii="楷体_GB2312" w:hAnsi="楷体_GB2312" w:eastAsia="楷体_GB2312" w:cs="楷体_GB2312"/>
          <w:b/>
          <w:bCs/>
          <w:sz w:val="32"/>
          <w:szCs w:val="32"/>
          <w:lang w:val="en-US" w:eastAsia="zh-CN"/>
        </w:rPr>
        <w:t>31</w:t>
      </w:r>
      <w:r>
        <w:rPr>
          <w:rFonts w:hint="eastAsia" w:ascii="楷体_GB2312" w:hAnsi="楷体_GB2312" w:eastAsia="楷体_GB2312" w:cs="楷体_GB2312"/>
          <w:b/>
          <w:bCs/>
          <w:sz w:val="32"/>
          <w:szCs w:val="32"/>
        </w:rPr>
        <w:t>日前完成）</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楷体_GB2312" w:hAnsi="楷体_GB2312" w:eastAsia="楷体_GB2312" w:cs="楷体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楷体_GB2312" w:hAnsi="楷体_GB2312" w:eastAsia="楷体_GB2312" w:cs="楷体_GB2312"/>
          <w:b/>
          <w:bCs/>
          <w:sz w:val="32"/>
          <w:szCs w:val="32"/>
        </w:rPr>
        <w:t>（二）清查阶段（201</w:t>
      </w:r>
      <w:r>
        <w:rPr>
          <w:rFonts w:hint="eastAsia" w:ascii="楷体_GB2312" w:hAnsi="楷体_GB2312" w:eastAsia="楷体_GB2312" w:cs="楷体_GB2312"/>
          <w:b/>
          <w:bCs/>
          <w:sz w:val="32"/>
          <w:szCs w:val="32"/>
          <w:lang w:val="en-US" w:eastAsia="zh-CN"/>
        </w:rPr>
        <w:t>8</w:t>
      </w:r>
      <w:r>
        <w:rPr>
          <w:rFonts w:hint="eastAsia" w:ascii="楷体_GB2312" w:hAnsi="楷体_GB2312" w:eastAsia="楷体_GB2312" w:cs="楷体_GB2312"/>
          <w:b/>
          <w:bCs/>
          <w:sz w:val="32"/>
          <w:szCs w:val="32"/>
        </w:rPr>
        <w:t>年1月1日-</w:t>
      </w: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rPr>
        <w:t>月</w:t>
      </w:r>
      <w:r>
        <w:rPr>
          <w:rFonts w:hint="eastAsia" w:ascii="楷体_GB2312" w:hAnsi="楷体_GB2312" w:eastAsia="楷体_GB2312" w:cs="楷体_GB2312"/>
          <w:b/>
          <w:bCs/>
          <w:sz w:val="32"/>
          <w:szCs w:val="32"/>
          <w:lang w:val="en-US" w:eastAsia="zh-CN"/>
        </w:rPr>
        <w:t>10</w:t>
      </w:r>
      <w:r>
        <w:rPr>
          <w:rFonts w:hint="eastAsia" w:ascii="楷体_GB2312" w:hAnsi="楷体_GB2312" w:eastAsia="楷体_GB2312" w:cs="楷体_GB2312"/>
          <w:b/>
          <w:bCs/>
          <w:sz w:val="32"/>
          <w:szCs w:val="32"/>
        </w:rPr>
        <w:t>日）</w:t>
      </w:r>
    </w:p>
    <w:p>
      <w:pPr>
        <w:pStyle w:val="3"/>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以2017年1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月31日为清产核资基准日。</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账务清理（1月1日-</w:t>
      </w:r>
      <w:r>
        <w:rPr>
          <w:rFonts w:hint="eastAsia" w:ascii="仿宋_GB2312" w:hAnsi="仿宋_GB2312" w:eastAsia="仿宋_GB2312" w:cs="仿宋_GB2312"/>
          <w:b w:val="0"/>
          <w:bCs w:val="0"/>
          <w:sz w:val="32"/>
          <w:szCs w:val="32"/>
          <w:lang w:val="en-US" w:eastAsia="zh-CN"/>
        </w:rPr>
        <w:t>1月</w:t>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日）。</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三资清查（1月1</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日-</w:t>
      </w:r>
      <w:r>
        <w:rPr>
          <w:rFonts w:hint="eastAsia" w:ascii="仿宋_GB2312" w:hAnsi="仿宋_GB2312" w:eastAsia="仿宋_GB2312" w:cs="仿宋_GB2312"/>
          <w:b w:val="0"/>
          <w:bCs w:val="0"/>
          <w:sz w:val="32"/>
          <w:szCs w:val="32"/>
          <w:lang w:val="en-US" w:eastAsia="zh-CN"/>
        </w:rPr>
        <w:t>1月31</w:t>
      </w:r>
      <w:r>
        <w:rPr>
          <w:rFonts w:hint="eastAsia" w:ascii="仿宋_GB2312" w:hAnsi="仿宋_GB2312" w:eastAsia="仿宋_GB2312" w:cs="仿宋_GB2312"/>
          <w:b w:val="0"/>
          <w:bCs w:val="0"/>
          <w:sz w:val="32"/>
          <w:szCs w:val="32"/>
        </w:rPr>
        <w:t>日）。</w:t>
      </w:r>
    </w:p>
    <w:p>
      <w:pPr>
        <w:pStyle w:val="3"/>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资产评估（</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日-</w:t>
      </w:r>
      <w:r>
        <w:rPr>
          <w:rFonts w:hint="eastAsia" w:ascii="仿宋_GB2312" w:hAnsi="仿宋_GB2312" w:eastAsia="仿宋_GB2312" w:cs="仿宋_GB2312"/>
          <w:b w:val="0"/>
          <w:bCs w:val="0"/>
          <w:sz w:val="32"/>
          <w:szCs w:val="32"/>
          <w:lang w:val="en-US" w:eastAsia="zh-CN"/>
        </w:rPr>
        <w:t>2月10</w:t>
      </w:r>
      <w:r>
        <w:rPr>
          <w:rFonts w:hint="eastAsia" w:ascii="仿宋_GB2312" w:hAnsi="仿宋_GB2312" w:eastAsia="仿宋_GB2312" w:cs="仿宋_GB2312"/>
          <w:b w:val="0"/>
          <w:bCs w:val="0"/>
          <w:sz w:val="32"/>
          <w:szCs w:val="32"/>
        </w:rPr>
        <w:t>日）。</w:t>
      </w:r>
    </w:p>
    <w:p>
      <w:pPr>
        <w:pStyle w:val="3"/>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权属界定（</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1日-</w:t>
      </w:r>
      <w:r>
        <w:rPr>
          <w:rFonts w:hint="eastAsia" w:ascii="仿宋_GB2312" w:hAnsi="仿宋_GB2312" w:eastAsia="仿宋_GB2312" w:cs="仿宋_GB2312"/>
          <w:b w:val="0"/>
          <w:bCs w:val="0"/>
          <w:sz w:val="32"/>
          <w:szCs w:val="32"/>
          <w:lang w:val="en-US" w:eastAsia="zh-CN"/>
        </w:rPr>
        <w:t>2月20</w:t>
      </w:r>
      <w:r>
        <w:rPr>
          <w:rFonts w:hint="eastAsia" w:ascii="仿宋_GB2312" w:hAnsi="仿宋_GB2312" w:eastAsia="仿宋_GB2312" w:cs="仿宋_GB2312"/>
          <w:b w:val="0"/>
          <w:bCs w:val="0"/>
          <w:sz w:val="32"/>
          <w:szCs w:val="32"/>
        </w:rPr>
        <w:t>日）。</w:t>
      </w:r>
    </w:p>
    <w:p>
      <w:pPr>
        <w:pStyle w:val="3"/>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公开公示（</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21</w:t>
      </w:r>
      <w:r>
        <w:rPr>
          <w:rFonts w:hint="eastAsia" w:ascii="仿宋_GB2312" w:hAnsi="仿宋_GB2312" w:eastAsia="仿宋_GB2312" w:cs="仿宋_GB2312"/>
          <w:b w:val="0"/>
          <w:bCs w:val="0"/>
          <w:sz w:val="32"/>
          <w:szCs w:val="32"/>
        </w:rPr>
        <w:t>日-3</w:t>
      </w:r>
      <w:r>
        <w:rPr>
          <w:rFonts w:hint="eastAsia" w:ascii="仿宋_GB2312" w:hAnsi="仿宋_GB2312" w:eastAsia="仿宋_GB2312" w:cs="仿宋_GB2312"/>
          <w:b w:val="0"/>
          <w:bCs w:val="0"/>
          <w:sz w:val="32"/>
          <w:szCs w:val="32"/>
          <w:lang w:eastAsia="zh-CN"/>
        </w:rPr>
        <w:t>月</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日）。</w:t>
      </w:r>
    </w:p>
    <w:p>
      <w:pPr>
        <w:pStyle w:val="3"/>
        <w:keepNext w:val="0"/>
        <w:keepLines w:val="0"/>
        <w:pageBreakBefore w:val="0"/>
        <w:widowControl w:val="0"/>
        <w:kinsoku/>
        <w:wordWrap/>
        <w:overflowPunct/>
        <w:topLinePunct w:val="0"/>
        <w:autoSpaceDE/>
        <w:autoSpaceDN/>
        <w:bidi w:val="0"/>
        <w:adjustRightInd/>
        <w:snapToGrid/>
        <w:spacing w:line="600" w:lineRule="exact"/>
        <w:ind w:firstLine="69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结果确认（</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日-</w:t>
      </w:r>
      <w:r>
        <w:rPr>
          <w:rFonts w:hint="eastAsia" w:ascii="仿宋_GB2312" w:hAnsi="仿宋_GB2312" w:eastAsia="仿宋_GB2312" w:cs="仿宋_GB2312"/>
          <w:b w:val="0"/>
          <w:bCs w:val="0"/>
          <w:sz w:val="32"/>
          <w:szCs w:val="32"/>
          <w:lang w:val="en-US" w:eastAsia="zh-CN"/>
        </w:rPr>
        <w:t>3月</w:t>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日）。</w:t>
      </w:r>
      <w:r>
        <w:rPr>
          <w:rFonts w:hint="eastAsia" w:ascii="仿宋_GB2312" w:hAnsi="仿宋_GB2312" w:eastAsia="仿宋_GB2312" w:cs="仿宋_GB2312"/>
          <w:sz w:val="32"/>
          <w:szCs w:val="32"/>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汇总报批（</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月1</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日-</w:t>
      </w:r>
      <w:r>
        <w:rPr>
          <w:rFonts w:hint="eastAsia" w:ascii="仿宋_GB2312" w:hAnsi="仿宋_GB2312" w:eastAsia="仿宋_GB2312" w:cs="仿宋_GB2312"/>
          <w:b w:val="0"/>
          <w:bCs w:val="0"/>
          <w:sz w:val="32"/>
          <w:szCs w:val="32"/>
          <w:lang w:val="en-US" w:eastAsia="zh-CN"/>
        </w:rPr>
        <w:t>3月</w:t>
      </w:r>
      <w:r>
        <w:rPr>
          <w:rFonts w:hint="eastAsia" w:ascii="仿宋_GB2312" w:hAnsi="仿宋_GB2312" w:eastAsia="仿宋_GB2312" w:cs="仿宋_GB2312"/>
          <w:b w:val="0"/>
          <w:bCs w:val="0"/>
          <w:sz w:val="32"/>
          <w:szCs w:val="32"/>
        </w:rPr>
        <w:t>20日）。</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整理归档（</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月21日-</w:t>
      </w:r>
      <w:r>
        <w:rPr>
          <w:rFonts w:hint="eastAsia" w:ascii="仿宋_GB2312" w:hAnsi="仿宋_GB2312" w:eastAsia="仿宋_GB2312" w:cs="仿宋_GB2312"/>
          <w:b w:val="0"/>
          <w:bCs w:val="0"/>
          <w:sz w:val="32"/>
          <w:szCs w:val="32"/>
          <w:lang w:val="en-US" w:eastAsia="zh-CN"/>
        </w:rPr>
        <w:t>3月</w:t>
      </w: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日）。</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完善台账（</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日-</w:t>
      </w:r>
      <w:r>
        <w:rPr>
          <w:rFonts w:hint="eastAsia" w:ascii="仿宋_GB2312" w:hAnsi="仿宋_GB2312" w:eastAsia="仿宋_GB2312" w:cs="仿宋_GB2312"/>
          <w:b w:val="0"/>
          <w:bCs w:val="0"/>
          <w:sz w:val="32"/>
          <w:szCs w:val="32"/>
          <w:lang w:val="en-US" w:eastAsia="zh-CN"/>
        </w:rPr>
        <w:t>4月10</w:t>
      </w:r>
      <w:r>
        <w:rPr>
          <w:rFonts w:hint="eastAsia" w:ascii="仿宋_GB2312" w:hAnsi="仿宋_GB2312" w:eastAsia="仿宋_GB2312" w:cs="仿宋_GB2312"/>
          <w:b w:val="0"/>
          <w:bCs w:val="0"/>
          <w:sz w:val="32"/>
          <w:szCs w:val="32"/>
        </w:rPr>
        <w:t>日）。</w:t>
      </w:r>
    </w:p>
    <w:p>
      <w:pPr>
        <w:pStyle w:val="3"/>
        <w:keepNext w:val="0"/>
        <w:keepLines w:val="0"/>
        <w:pageBreakBefore w:val="0"/>
        <w:widowControl w:val="0"/>
        <w:kinsoku/>
        <w:wordWrap/>
        <w:overflowPunct/>
        <w:topLinePunct w:val="0"/>
        <w:autoSpaceDE/>
        <w:autoSpaceDN/>
        <w:bidi w:val="0"/>
        <w:adjustRightInd/>
        <w:snapToGrid/>
        <w:spacing w:line="600" w:lineRule="exact"/>
        <w:ind w:firstLine="630"/>
        <w:textAlignment w:val="auto"/>
        <w:outlineLvl w:val="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（三）检查验收阶段（</w:t>
      </w: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rPr>
        <w:t>月</w:t>
      </w:r>
      <w:r>
        <w:rPr>
          <w:rFonts w:hint="eastAsia" w:ascii="楷体_GB2312" w:hAnsi="楷体_GB2312" w:eastAsia="楷体_GB2312" w:cs="楷体_GB2312"/>
          <w:b/>
          <w:bCs/>
          <w:sz w:val="32"/>
          <w:szCs w:val="32"/>
          <w:lang w:val="en-US" w:eastAsia="zh-CN"/>
        </w:rPr>
        <w:t>11</w:t>
      </w:r>
      <w:r>
        <w:rPr>
          <w:rFonts w:hint="eastAsia" w:ascii="楷体_GB2312" w:hAnsi="楷体_GB2312" w:eastAsia="楷体_GB2312" w:cs="楷体_GB2312"/>
          <w:b/>
          <w:bCs/>
          <w:sz w:val="32"/>
          <w:szCs w:val="32"/>
        </w:rPr>
        <w:t>日-3</w:t>
      </w:r>
      <w:r>
        <w:rPr>
          <w:rFonts w:hint="eastAsia" w:ascii="楷体_GB2312" w:hAnsi="楷体_GB2312" w:eastAsia="楷体_GB2312" w:cs="楷体_GB2312"/>
          <w:b/>
          <w:bCs/>
          <w:sz w:val="32"/>
          <w:szCs w:val="32"/>
          <w:lang w:val="en-US" w:eastAsia="zh-CN"/>
        </w:rPr>
        <w:t>0</w:t>
      </w:r>
      <w:r>
        <w:rPr>
          <w:rFonts w:hint="eastAsia" w:ascii="楷体_GB2312" w:hAnsi="楷体_GB2312" w:eastAsia="楷体_GB2312" w:cs="楷体_GB2312"/>
          <w:b/>
          <w:bCs/>
          <w:sz w:val="32"/>
          <w:szCs w:val="32"/>
        </w:rPr>
        <w:t>日）</w:t>
      </w:r>
    </w:p>
    <w:p>
      <w:pPr>
        <w:spacing w:line="600" w:lineRule="exact"/>
        <w:jc w:val="center"/>
        <w:rPr>
          <w:rFonts w:hint="eastAsia" w:ascii="仿宋_GB2312" w:hAnsi="仿宋_GB2312" w:eastAsia="仿宋_GB2312" w:cs="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pacing w:line="620" w:lineRule="exact"/>
        <w:jc w:val="center"/>
        <w:textAlignment w:val="auto"/>
        <w:outlineLvl w:val="9"/>
        <w:rPr>
          <w:rFonts w:hint="eastAsia" w:ascii="仿宋_GB2312" w:hAnsi="仿宋_GB2312" w:eastAsia="仿宋_GB2312" w:cs="仿宋_GB2312"/>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pacing w:line="620" w:lineRule="exact"/>
        <w:jc w:val="center"/>
        <w:textAlignment w:val="auto"/>
        <w:outlineLvl w:val="9"/>
        <w:rPr>
          <w:rFonts w:hint="eastAsia" w:ascii="仿宋_GB2312" w:hAnsi="仿宋_GB2312" w:eastAsia="仿宋_GB2312" w:cs="仿宋_GB2312"/>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pacing w:line="620" w:lineRule="exact"/>
        <w:jc w:val="center"/>
        <w:textAlignment w:val="auto"/>
        <w:outlineLvl w:val="9"/>
        <w:rPr>
          <w:rFonts w:hint="eastAsia" w:ascii="仿宋_GB2312" w:hAnsi="仿宋_GB2312" w:eastAsia="仿宋_GB2312" w:cs="仿宋_GB2312"/>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pacing w:line="620" w:lineRule="exact"/>
        <w:jc w:val="center"/>
        <w:textAlignment w:val="auto"/>
        <w:outlineLvl w:val="9"/>
        <w:rPr>
          <w:rFonts w:hint="eastAsia" w:ascii="仿宋_GB2312" w:hAnsi="仿宋_GB2312" w:eastAsia="仿宋_GB2312" w:cs="仿宋_GB2312"/>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pacing w:line="620" w:lineRule="exact"/>
        <w:jc w:val="center"/>
        <w:textAlignment w:val="auto"/>
        <w:outlineLvl w:val="9"/>
        <w:rPr>
          <w:rFonts w:hint="eastAsia" w:ascii="仿宋_GB2312" w:hAnsi="仿宋_GB2312" w:eastAsia="仿宋_GB2312" w:cs="仿宋_GB2312"/>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pacing w:line="620" w:lineRule="exact"/>
        <w:jc w:val="both"/>
        <w:textAlignment w:val="auto"/>
        <w:outlineLvl w:val="9"/>
        <w:rPr>
          <w:rFonts w:hint="eastAsia" w:ascii="仿宋_GB2312" w:hAnsi="仿宋_GB2312" w:eastAsia="仿宋_GB2312" w:cs="仿宋_GB2312"/>
          <w:b w:val="0"/>
          <w:bCs w:val="0"/>
          <w:color w:val="000000"/>
          <w:sz w:val="32"/>
          <w:szCs w:val="32"/>
          <w:lang w:eastAsia="zh-CN"/>
        </w:rPr>
      </w:pPr>
    </w:p>
    <w:p>
      <w:pPr>
        <w:rPr>
          <w:rFonts w:hint="eastAsia" w:ascii="仿宋_GB2312" w:hAnsi="仿宋_GB2312" w:eastAsia="仿宋_GB2312" w:cs="仿宋_GB2312"/>
          <w:b w:val="0"/>
          <w:bCs w:val="0"/>
          <w:color w:val="000000"/>
          <w:kern w:val="2"/>
          <w:sz w:val="32"/>
          <w:szCs w:val="32"/>
          <w:lang w:val="en-US" w:eastAsia="zh-CN" w:bidi="ar-SA"/>
        </w:rPr>
      </w:pPr>
    </w:p>
    <w:p>
      <w:pPr>
        <w:rPr>
          <w:rFonts w:hint="eastAsia" w:ascii="仿宋_GB2312" w:hAnsi="仿宋_GB2312" w:eastAsia="仿宋_GB2312" w:cs="仿宋_GB2312"/>
          <w:b w:val="0"/>
          <w:bCs w:val="0"/>
          <w:color w:val="000000"/>
          <w:kern w:val="2"/>
          <w:sz w:val="32"/>
          <w:szCs w:val="32"/>
          <w:lang w:val="en-US" w:eastAsia="zh-CN" w:bidi="ar-SA"/>
        </w:rPr>
      </w:pPr>
    </w:p>
    <w:p>
      <w:pPr>
        <w:rPr>
          <w:rFonts w:hint="eastAsia" w:ascii="仿宋_GB2312" w:hAnsi="仿宋_GB2312" w:eastAsia="仿宋_GB2312" w:cs="仿宋_GB2312"/>
          <w:b w:val="0"/>
          <w:bCs w:val="0"/>
          <w:color w:val="000000"/>
          <w:kern w:val="2"/>
          <w:sz w:val="32"/>
          <w:szCs w:val="32"/>
          <w:lang w:val="en-US" w:eastAsia="zh-CN" w:bidi="ar-SA"/>
        </w:rPr>
      </w:pPr>
    </w:p>
    <w:p>
      <w:pPr>
        <w:rPr>
          <w:rFonts w:hint="eastAsia" w:ascii="仿宋_GB2312" w:hAnsi="仿宋_GB2312" w:eastAsia="仿宋_GB2312" w:cs="仿宋_GB2312"/>
          <w:b w:val="0"/>
          <w:bCs w:val="0"/>
          <w:color w:val="000000"/>
          <w:kern w:val="2"/>
          <w:sz w:val="32"/>
          <w:szCs w:val="32"/>
          <w:lang w:val="en-US" w:eastAsia="zh-CN" w:bidi="ar-SA"/>
        </w:rPr>
      </w:pPr>
    </w:p>
    <w:p>
      <w:pPr>
        <w:rPr>
          <w:rFonts w:hint="eastAsia" w:ascii="仿宋_GB2312" w:hAnsi="仿宋_GB2312" w:eastAsia="仿宋_GB2312" w:cs="仿宋_GB2312"/>
          <w:b w:val="0"/>
          <w:bCs w:val="0"/>
          <w:color w:val="000000"/>
          <w:kern w:val="2"/>
          <w:sz w:val="32"/>
          <w:szCs w:val="32"/>
          <w:lang w:val="en-US" w:eastAsia="zh-CN" w:bidi="ar-SA"/>
        </w:rPr>
      </w:pPr>
    </w:p>
    <w:p>
      <w:pPr>
        <w:rPr>
          <w:rFonts w:hint="eastAsia" w:ascii="仿宋_GB2312" w:hAnsi="仿宋_GB2312" w:eastAsia="仿宋_GB2312" w:cs="仿宋_GB2312"/>
          <w:b w:val="0"/>
          <w:bCs w:val="0"/>
          <w:color w:val="000000"/>
          <w:kern w:val="2"/>
          <w:sz w:val="32"/>
          <w:szCs w:val="32"/>
          <w:lang w:val="en-US" w:eastAsia="zh-CN" w:bidi="ar-SA"/>
        </w:rPr>
      </w:pPr>
    </w:p>
    <w:p>
      <w:pPr>
        <w:rPr>
          <w:rFonts w:hint="eastAsia" w:ascii="仿宋_GB2312" w:hAnsi="仿宋_GB2312" w:eastAsia="仿宋_GB2312" w:cs="仿宋_GB2312"/>
          <w:b w:val="0"/>
          <w:bCs w:val="0"/>
          <w:color w:val="000000"/>
          <w:kern w:val="2"/>
          <w:sz w:val="32"/>
          <w:szCs w:val="32"/>
          <w:lang w:val="en-US" w:eastAsia="zh-CN" w:bidi="ar-SA"/>
        </w:rPr>
      </w:pPr>
    </w:p>
    <w:p>
      <w:pPr>
        <w:rPr>
          <w:rFonts w:hint="eastAsia" w:ascii="仿宋_GB2312" w:hAnsi="仿宋_GB2312" w:eastAsia="仿宋_GB2312" w:cs="仿宋_GB2312"/>
          <w:b w:val="0"/>
          <w:bCs w:val="0"/>
          <w:color w:val="000000"/>
          <w:kern w:val="2"/>
          <w:sz w:val="32"/>
          <w:szCs w:val="32"/>
          <w:lang w:val="en-US" w:eastAsia="zh-CN" w:bidi="ar-SA"/>
        </w:rPr>
      </w:pPr>
    </w:p>
    <w:p>
      <w:pPr>
        <w:rPr>
          <w:rFonts w:hint="eastAsia" w:ascii="仿宋_GB2312" w:hAnsi="仿宋_GB2312" w:eastAsia="仿宋_GB2312" w:cs="仿宋_GB2312"/>
          <w:b w:val="0"/>
          <w:bCs w:val="0"/>
          <w:color w:val="000000"/>
          <w:kern w:val="2"/>
          <w:sz w:val="32"/>
          <w:szCs w:val="32"/>
          <w:lang w:val="en-US" w:eastAsia="zh-CN" w:bidi="ar-SA"/>
        </w:rPr>
      </w:pPr>
    </w:p>
    <w:p>
      <w:pPr>
        <w:pStyle w:val="6"/>
        <w:widowControl/>
        <w:spacing w:beforeAutospacing="0" w:afterAutospacing="0" w:line="480" w:lineRule="atLeast"/>
        <w:ind w:firstLine="1280" w:firstLineChars="400"/>
        <w:rPr>
          <w:rFonts w:hint="eastAsia" w:ascii="仿宋" w:hAnsi="仿宋" w:eastAsia="仿宋" w:cs="仿宋"/>
          <w:b/>
          <w:color w:val="000000"/>
          <w:sz w:val="32"/>
          <w:szCs w:val="32"/>
          <w:shd w:val="clear" w:color="auto" w:fill="FFFFFF"/>
        </w:rPr>
      </w:pPr>
      <w:r>
        <w:rPr>
          <w:rFonts w:hint="eastAsia" w:ascii="仿宋_GB2312" w:hAnsi="仿宋_GB2312" w:eastAsia="仿宋_GB2312" w:cs="仿宋_GB2312"/>
          <w:b w:val="0"/>
          <w:bCs w:val="0"/>
          <w:color w:val="000000"/>
          <w:kern w:val="2"/>
          <w:sz w:val="32"/>
          <w:szCs w:val="32"/>
          <w:lang w:val="en-US" w:eastAsia="zh-CN" w:bidi="ar-SA"/>
        </w:rPr>
        <w:tab/>
      </w:r>
    </w:p>
    <w:p>
      <w:pPr>
        <w:tabs>
          <w:tab w:val="left" w:pos="518"/>
        </w:tabs>
        <w:jc w:val="left"/>
        <w:rPr>
          <w:rFonts w:hint="eastAsia"/>
          <w:lang w:val="en-US" w:eastAsia="zh-CN"/>
        </w:rPr>
        <w:sectPr>
          <w:footerReference r:id="rId5" w:type="default"/>
          <w:pgSz w:w="11906" w:h="16838"/>
          <w:pgMar w:top="1644" w:right="1644" w:bottom="1644" w:left="1701" w:header="851" w:footer="992" w:gutter="0"/>
          <w:pgNumType w:fmt="decimal"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pacing w:line="620" w:lineRule="exact"/>
        <w:jc w:val="both"/>
        <w:textAlignment w:val="auto"/>
        <w:outlineLvl w:val="9"/>
        <w:rPr>
          <w:rFonts w:hint="eastAsia" w:ascii="方正小标宋简体" w:hAnsi="方正小标宋简体" w:eastAsia="方正小标宋简体" w:cs="方正小标宋简体"/>
          <w:b w:val="0"/>
          <w:bCs w:val="0"/>
          <w:color w:val="000000"/>
          <w:sz w:val="44"/>
          <w:szCs w:val="44"/>
          <w:lang w:eastAsia="zh-CN"/>
        </w:rPr>
      </w:pPr>
    </w:p>
    <w:p>
      <w:pPr>
        <w:jc w:val="center"/>
        <w:rPr>
          <w:rFonts w:hint="eastAsia"/>
          <w:b/>
          <w:bCs/>
          <w:sz w:val="44"/>
          <w:szCs w:val="44"/>
          <w:lang w:eastAsia="zh-CN"/>
        </w:rPr>
      </w:pPr>
      <w:r>
        <w:rPr>
          <w:rFonts w:hint="eastAsia"/>
          <w:b/>
          <w:bCs/>
          <w:sz w:val="44"/>
          <w:szCs w:val="44"/>
          <w:lang w:eastAsia="zh-CN"/>
        </w:rPr>
        <w:t>馆陶县农村集体资产清产核资操作程序</w:t>
      </w:r>
    </w:p>
    <w:p>
      <w:pPr>
        <w:jc w:val="center"/>
        <w:rPr>
          <w:rFonts w:hint="eastAsia"/>
          <w:b/>
          <w:bCs/>
          <w:sz w:val="44"/>
          <w:szCs w:val="44"/>
          <w:lang w:eastAsia="zh-CN"/>
        </w:rPr>
      </w:pPr>
      <w:r>
        <w:rPr>
          <w:rFonts w:hint="eastAsia"/>
          <w:b/>
          <w:bCs/>
          <w:sz w:val="44"/>
          <w:szCs w:val="44"/>
          <w:lang w:eastAsia="zh-CN"/>
        </w:rPr>
        <w:t>示意图</w:t>
      </w:r>
    </w:p>
    <w:p>
      <w:pPr>
        <w:jc w:val="center"/>
        <w:rPr>
          <w:rFonts w:hint="eastAsia"/>
          <w:sz w:val="32"/>
          <w:szCs w:val="32"/>
          <w:lang w:eastAsia="zh-CN"/>
        </w:rPr>
      </w:pPr>
    </w:p>
    <w:p>
      <w:pPr>
        <w:jc w:val="both"/>
        <w:rPr>
          <w:rFonts w:hint="eastAsia" w:ascii="仿宋" w:hAnsi="仿宋" w:eastAsia="仿宋" w:cs="仿宋"/>
          <w:b/>
          <w:bCs/>
          <w:sz w:val="36"/>
          <w:szCs w:val="36"/>
          <w:lang w:val="en-US" w:eastAsia="zh-CN"/>
        </w:rPr>
      </w:pPr>
      <w:r>
        <w:rPr>
          <w:rFonts w:hint="eastAsia" w:ascii="仿宋" w:hAnsi="仿宋" w:eastAsia="仿宋" w:cs="仿宋"/>
          <w:b/>
          <w:bCs/>
          <w:sz w:val="36"/>
          <w:szCs w:val="36"/>
          <w:bdr w:val="single" w:color="auto" w:sz="4" w:space="0"/>
          <w:lang w:eastAsia="zh-CN"/>
        </w:rPr>
        <w:t>召开两委干部会议</w:t>
      </w:r>
      <w:r>
        <w:rPr>
          <w:rFonts w:hint="eastAsia" w:ascii="仿宋" w:hAnsi="仿宋" w:eastAsia="仿宋" w:cs="仿宋"/>
          <w:b/>
          <w:bCs/>
          <w:sz w:val="36"/>
          <w:szCs w:val="36"/>
          <w:lang w:eastAsia="zh-CN"/>
        </w:rPr>
        <w:t>→</w:t>
      </w:r>
      <w:r>
        <w:rPr>
          <w:rFonts w:hint="eastAsia" w:ascii="仿宋" w:hAnsi="仿宋" w:eastAsia="仿宋" w:cs="仿宋"/>
          <w:b/>
          <w:bCs/>
          <w:sz w:val="36"/>
          <w:szCs w:val="36"/>
          <w:bdr w:val="single" w:color="auto" w:sz="4" w:space="0"/>
          <w:lang w:eastAsia="zh-CN"/>
        </w:rPr>
        <w:t>拟定清产核资小组</w:t>
      </w:r>
      <w:r>
        <w:rPr>
          <w:rFonts w:hint="eastAsia" w:ascii="仿宋" w:hAnsi="仿宋" w:eastAsia="仿宋" w:cs="仿宋"/>
          <w:b/>
          <w:bCs/>
          <w:sz w:val="36"/>
          <w:szCs w:val="36"/>
          <w:lang w:eastAsia="zh-CN"/>
        </w:rPr>
        <w:t>→</w:t>
      </w:r>
      <w:r>
        <w:rPr>
          <w:rFonts w:hint="eastAsia" w:ascii="仿宋" w:hAnsi="仿宋" w:eastAsia="仿宋" w:cs="仿宋"/>
          <w:b/>
          <w:bCs/>
          <w:sz w:val="36"/>
          <w:szCs w:val="36"/>
          <w:bdr w:val="single" w:color="auto" w:sz="4" w:space="0"/>
          <w:lang w:eastAsia="zh-CN"/>
        </w:rPr>
        <w:t>拟定清产核资方案</w:t>
      </w:r>
      <w:r>
        <w:rPr>
          <w:rFonts w:hint="eastAsia" w:ascii="仿宋" w:hAnsi="仿宋" w:eastAsia="仿宋" w:cs="仿宋"/>
          <w:b/>
          <w:bCs/>
          <w:sz w:val="36"/>
          <w:szCs w:val="36"/>
          <w:lang w:eastAsia="zh-CN"/>
        </w:rPr>
        <w:t>→</w:t>
      </w:r>
      <w:r>
        <w:rPr>
          <w:rFonts w:hint="eastAsia" w:ascii="仿宋" w:hAnsi="仿宋" w:eastAsia="仿宋" w:cs="仿宋"/>
          <w:b/>
          <w:bCs/>
          <w:sz w:val="36"/>
          <w:szCs w:val="36"/>
          <w:bdr w:val="single" w:color="auto" w:sz="4" w:space="0"/>
          <w:shd w:val="clear" w:color="auto" w:fill="auto"/>
          <w:lang w:eastAsia="zh-CN"/>
        </w:rPr>
        <w:t>村民代表会议讨论</w:t>
      </w:r>
      <w:r>
        <w:rPr>
          <w:rFonts w:hint="eastAsia" w:ascii="仿宋" w:hAnsi="仿宋" w:eastAsia="仿宋" w:cs="仿宋"/>
          <w:b/>
          <w:bCs/>
          <w:sz w:val="36"/>
          <w:szCs w:val="36"/>
          <w:lang w:eastAsia="zh-CN"/>
        </w:rPr>
        <w:t>→</w:t>
      </w:r>
      <w:r>
        <w:rPr>
          <w:rFonts w:hint="eastAsia" w:ascii="仿宋" w:hAnsi="仿宋" w:eastAsia="仿宋" w:cs="仿宋"/>
          <w:b/>
          <w:bCs/>
          <w:sz w:val="36"/>
          <w:szCs w:val="36"/>
          <w:lang w:val="en-US" w:eastAsia="zh-CN"/>
        </w:rPr>
        <w:t xml:space="preserve">    </w:t>
      </w:r>
    </w:p>
    <w:p>
      <w:pPr>
        <w:jc w:val="both"/>
        <w:rPr>
          <w:rFonts w:hint="eastAsia" w:ascii="仿宋" w:hAnsi="仿宋" w:eastAsia="仿宋" w:cs="仿宋"/>
          <w:b/>
          <w:bCs/>
          <w:sz w:val="36"/>
          <w:szCs w:val="36"/>
          <w:lang w:val="en-US" w:eastAsia="zh-CN"/>
        </w:rPr>
      </w:pPr>
    </w:p>
    <w:p>
      <w:pPr>
        <w:jc w:val="both"/>
        <w:rPr>
          <w:rFonts w:hint="eastAsia" w:ascii="仿宋" w:hAnsi="仿宋" w:eastAsia="仿宋" w:cs="仿宋"/>
          <w:b/>
          <w:bCs/>
          <w:sz w:val="36"/>
          <w:szCs w:val="36"/>
          <w:lang w:eastAsia="zh-CN"/>
        </w:rPr>
      </w:pPr>
      <w:r>
        <w:rPr>
          <w:rFonts w:hint="eastAsia" w:ascii="仿宋" w:hAnsi="仿宋" w:eastAsia="仿宋" w:cs="仿宋"/>
          <w:b/>
          <w:bCs/>
          <w:sz w:val="36"/>
          <w:szCs w:val="36"/>
          <w:bdr w:val="single" w:color="auto" w:sz="4" w:space="0"/>
          <w:shd w:val="clear" w:color="auto" w:fill="auto"/>
          <w:lang w:eastAsia="zh-CN"/>
        </w:rPr>
        <w:t>张贴清产核资公告</w:t>
      </w:r>
      <w:r>
        <w:rPr>
          <w:rFonts w:hint="eastAsia" w:ascii="仿宋" w:hAnsi="仿宋" w:eastAsia="仿宋" w:cs="仿宋"/>
          <w:b/>
          <w:bCs/>
          <w:sz w:val="36"/>
          <w:szCs w:val="36"/>
          <w:lang w:eastAsia="zh-CN"/>
        </w:rPr>
        <w:t>→</w:t>
      </w:r>
      <w:r>
        <w:rPr>
          <w:rFonts w:hint="eastAsia" w:ascii="仿宋" w:hAnsi="仿宋" w:eastAsia="仿宋" w:cs="仿宋"/>
          <w:b/>
          <w:bCs/>
          <w:sz w:val="36"/>
          <w:szCs w:val="36"/>
          <w:bdr w:val="single" w:color="auto" w:sz="4" w:space="0"/>
          <w:shd w:val="clear" w:color="auto" w:fill="auto"/>
          <w:lang w:eastAsia="zh-CN"/>
        </w:rPr>
        <w:t>完善基准日财务账</w:t>
      </w:r>
      <w:r>
        <w:rPr>
          <w:rFonts w:hint="eastAsia" w:ascii="仿宋" w:hAnsi="仿宋" w:eastAsia="仿宋" w:cs="仿宋"/>
          <w:b/>
          <w:bCs/>
          <w:sz w:val="36"/>
          <w:szCs w:val="36"/>
          <w:lang w:eastAsia="zh-CN"/>
        </w:rPr>
        <w:t>→</w:t>
      </w:r>
      <w:r>
        <w:rPr>
          <w:rFonts w:hint="eastAsia" w:ascii="仿宋" w:hAnsi="仿宋" w:eastAsia="仿宋" w:cs="仿宋"/>
          <w:b/>
          <w:bCs/>
          <w:sz w:val="36"/>
          <w:szCs w:val="36"/>
          <w:bdr w:val="single" w:color="auto" w:sz="4" w:space="0"/>
          <w:shd w:val="clear" w:color="auto" w:fill="auto"/>
          <w:lang w:eastAsia="zh-CN"/>
        </w:rPr>
        <w:t>清理账内资产权益</w:t>
      </w:r>
      <w:r>
        <w:rPr>
          <w:rFonts w:hint="eastAsia" w:ascii="仿宋" w:hAnsi="仿宋" w:eastAsia="仿宋" w:cs="仿宋"/>
          <w:b/>
          <w:bCs/>
          <w:sz w:val="36"/>
          <w:szCs w:val="36"/>
          <w:lang w:eastAsia="zh-CN"/>
        </w:rPr>
        <w:t>→</w:t>
      </w:r>
      <w:r>
        <w:rPr>
          <w:rFonts w:hint="eastAsia" w:ascii="仿宋" w:hAnsi="仿宋" w:eastAsia="仿宋" w:cs="仿宋"/>
          <w:b/>
          <w:bCs/>
          <w:sz w:val="36"/>
          <w:szCs w:val="36"/>
          <w:bdr w:val="single" w:color="auto" w:sz="4" w:space="0"/>
          <w:lang w:eastAsia="zh-CN"/>
        </w:rPr>
        <w:t>清理账外资产权益</w:t>
      </w:r>
      <w:r>
        <w:rPr>
          <w:rFonts w:hint="eastAsia" w:ascii="仿宋" w:hAnsi="仿宋" w:eastAsia="仿宋" w:cs="仿宋"/>
          <w:b/>
          <w:bCs/>
          <w:sz w:val="36"/>
          <w:szCs w:val="36"/>
          <w:lang w:eastAsia="zh-CN"/>
        </w:rPr>
        <w:t>→</w:t>
      </w:r>
    </w:p>
    <w:p>
      <w:pPr>
        <w:jc w:val="both"/>
        <w:rPr>
          <w:rFonts w:hint="eastAsia" w:ascii="仿宋" w:hAnsi="仿宋" w:eastAsia="仿宋" w:cs="仿宋"/>
          <w:b/>
          <w:bCs/>
          <w:sz w:val="36"/>
          <w:szCs w:val="36"/>
          <w:lang w:eastAsia="zh-CN"/>
        </w:rPr>
      </w:pPr>
    </w:p>
    <w:p>
      <w:pPr>
        <w:jc w:val="both"/>
        <w:rPr>
          <w:rFonts w:hint="eastAsia" w:ascii="仿宋" w:hAnsi="仿宋" w:eastAsia="仿宋" w:cs="仿宋"/>
          <w:b/>
          <w:bCs/>
          <w:sz w:val="36"/>
          <w:szCs w:val="36"/>
          <w:lang w:eastAsia="zh-CN"/>
        </w:rPr>
      </w:pPr>
      <w:r>
        <w:rPr>
          <w:rFonts w:hint="eastAsia" w:ascii="仿宋" w:hAnsi="仿宋" w:eastAsia="仿宋" w:cs="仿宋"/>
          <w:b/>
          <w:bCs/>
          <w:sz w:val="36"/>
          <w:szCs w:val="36"/>
          <w:bdr w:val="single" w:color="auto" w:sz="4" w:space="0"/>
          <w:shd w:val="clear" w:color="auto" w:fill="auto"/>
          <w:lang w:eastAsia="zh-CN"/>
        </w:rPr>
        <w:t>界定资产所有权限</w:t>
      </w:r>
      <w:r>
        <w:rPr>
          <w:rFonts w:hint="eastAsia" w:ascii="仿宋" w:hAnsi="仿宋" w:eastAsia="仿宋" w:cs="仿宋"/>
          <w:b/>
          <w:bCs/>
          <w:sz w:val="36"/>
          <w:szCs w:val="36"/>
          <w:lang w:eastAsia="zh-CN"/>
        </w:rPr>
        <w:t>→</w:t>
      </w:r>
      <w:r>
        <w:rPr>
          <w:rFonts w:hint="eastAsia" w:ascii="仿宋" w:hAnsi="仿宋" w:eastAsia="仿宋" w:cs="仿宋"/>
          <w:b/>
          <w:bCs/>
          <w:sz w:val="36"/>
          <w:szCs w:val="36"/>
          <w:bdr w:val="single" w:color="auto" w:sz="4" w:space="0"/>
          <w:lang w:eastAsia="zh-CN"/>
        </w:rPr>
        <w:t>资产价值估价重估</w:t>
      </w:r>
      <w:r>
        <w:rPr>
          <w:rFonts w:hint="eastAsia" w:ascii="仿宋" w:hAnsi="仿宋" w:eastAsia="仿宋" w:cs="仿宋"/>
          <w:b/>
          <w:bCs/>
          <w:sz w:val="36"/>
          <w:szCs w:val="36"/>
          <w:lang w:eastAsia="zh-CN"/>
        </w:rPr>
        <w:t>→</w:t>
      </w:r>
      <w:r>
        <w:rPr>
          <w:rFonts w:hint="eastAsia" w:ascii="仿宋" w:hAnsi="仿宋" w:eastAsia="仿宋" w:cs="仿宋"/>
          <w:b/>
          <w:bCs/>
          <w:sz w:val="36"/>
          <w:szCs w:val="36"/>
          <w:bdr w:val="single" w:color="auto" w:sz="4" w:space="0"/>
          <w:lang w:eastAsia="zh-CN"/>
        </w:rPr>
        <w:t>整理资产清查结果</w:t>
      </w:r>
      <w:r>
        <w:rPr>
          <w:rFonts w:hint="eastAsia" w:ascii="仿宋" w:hAnsi="仿宋" w:eastAsia="仿宋" w:cs="仿宋"/>
          <w:b/>
          <w:bCs/>
          <w:sz w:val="36"/>
          <w:szCs w:val="36"/>
          <w:lang w:eastAsia="zh-CN"/>
        </w:rPr>
        <w:t>→</w:t>
      </w:r>
      <w:r>
        <w:rPr>
          <w:rFonts w:hint="eastAsia" w:ascii="仿宋" w:hAnsi="仿宋" w:eastAsia="仿宋" w:cs="仿宋"/>
          <w:b/>
          <w:bCs/>
          <w:sz w:val="36"/>
          <w:szCs w:val="36"/>
          <w:bdr w:val="single" w:color="auto" w:sz="4" w:space="0"/>
          <w:lang w:eastAsia="zh-CN"/>
        </w:rPr>
        <w:t>提请村民代表审议</w:t>
      </w:r>
      <w:r>
        <w:rPr>
          <w:rFonts w:hint="eastAsia" w:ascii="仿宋" w:hAnsi="仿宋" w:eastAsia="仿宋" w:cs="仿宋"/>
          <w:b/>
          <w:bCs/>
          <w:sz w:val="36"/>
          <w:szCs w:val="36"/>
          <w:lang w:eastAsia="zh-CN"/>
        </w:rPr>
        <w:t>→</w:t>
      </w:r>
    </w:p>
    <w:p>
      <w:pPr>
        <w:jc w:val="both"/>
        <w:rPr>
          <w:rFonts w:hint="eastAsia" w:ascii="仿宋" w:hAnsi="仿宋" w:eastAsia="仿宋" w:cs="仿宋"/>
          <w:b/>
          <w:bCs/>
          <w:sz w:val="36"/>
          <w:szCs w:val="36"/>
          <w:bdr w:val="single" w:color="auto" w:sz="4" w:space="0"/>
          <w:shd w:val="clear" w:color="auto" w:fill="auto"/>
          <w:lang w:eastAsia="zh-CN"/>
        </w:rPr>
      </w:pPr>
    </w:p>
    <w:p>
      <w:pPr>
        <w:jc w:val="both"/>
        <w:rPr>
          <w:rFonts w:hint="eastAsia" w:ascii="仿宋" w:hAnsi="仿宋" w:eastAsia="仿宋" w:cs="仿宋"/>
          <w:b/>
          <w:bCs/>
          <w:sz w:val="36"/>
          <w:szCs w:val="36"/>
          <w:lang w:eastAsia="zh-CN"/>
        </w:rPr>
      </w:pPr>
      <w:r>
        <w:rPr>
          <w:rFonts w:hint="eastAsia" w:ascii="仿宋" w:hAnsi="仿宋" w:eastAsia="仿宋" w:cs="仿宋"/>
          <w:b/>
          <w:bCs/>
          <w:sz w:val="36"/>
          <w:szCs w:val="36"/>
          <w:bdr w:val="single" w:color="auto" w:sz="4" w:space="0"/>
          <w:shd w:val="clear" w:color="auto" w:fill="auto"/>
          <w:lang w:eastAsia="zh-CN"/>
        </w:rPr>
        <w:t>清产核资结果公示</w:t>
      </w:r>
      <w:r>
        <w:rPr>
          <w:rFonts w:hint="eastAsia" w:ascii="仿宋" w:hAnsi="仿宋" w:eastAsia="仿宋" w:cs="仿宋"/>
          <w:b/>
          <w:bCs/>
          <w:sz w:val="36"/>
          <w:szCs w:val="36"/>
          <w:lang w:eastAsia="zh-CN"/>
        </w:rPr>
        <w:t>→</w:t>
      </w:r>
      <w:r>
        <w:rPr>
          <w:rFonts w:hint="eastAsia" w:ascii="仿宋" w:hAnsi="仿宋" w:eastAsia="仿宋" w:cs="仿宋"/>
          <w:b/>
          <w:bCs/>
          <w:sz w:val="36"/>
          <w:szCs w:val="36"/>
          <w:bdr w:val="single" w:color="auto" w:sz="4" w:space="0"/>
          <w:lang w:eastAsia="zh-CN"/>
        </w:rPr>
        <w:t>汇总登记整理造册</w:t>
      </w:r>
      <w:r>
        <w:rPr>
          <w:rFonts w:hint="eastAsia" w:ascii="仿宋" w:hAnsi="仿宋" w:eastAsia="仿宋" w:cs="仿宋"/>
          <w:b/>
          <w:bCs/>
          <w:sz w:val="36"/>
          <w:szCs w:val="36"/>
          <w:lang w:eastAsia="zh-CN"/>
        </w:rPr>
        <w:t>→</w:t>
      </w:r>
      <w:r>
        <w:rPr>
          <w:rFonts w:hint="eastAsia" w:ascii="仿宋" w:hAnsi="仿宋" w:eastAsia="仿宋" w:cs="仿宋"/>
          <w:b/>
          <w:bCs/>
          <w:sz w:val="36"/>
          <w:szCs w:val="36"/>
          <w:bdr w:val="single" w:color="auto" w:sz="4" w:space="0"/>
          <w:lang w:eastAsia="zh-CN"/>
        </w:rPr>
        <w:t>报请乡镇农经审核</w:t>
      </w:r>
      <w:r>
        <w:rPr>
          <w:rFonts w:hint="eastAsia" w:ascii="仿宋" w:hAnsi="仿宋" w:eastAsia="仿宋" w:cs="仿宋"/>
          <w:b/>
          <w:bCs/>
          <w:sz w:val="36"/>
          <w:szCs w:val="36"/>
          <w:lang w:eastAsia="zh-CN"/>
        </w:rPr>
        <w:t>→</w:t>
      </w:r>
      <w:r>
        <w:rPr>
          <w:rFonts w:hint="eastAsia" w:ascii="仿宋" w:hAnsi="仿宋" w:eastAsia="仿宋" w:cs="仿宋"/>
          <w:b/>
          <w:bCs/>
          <w:sz w:val="36"/>
          <w:szCs w:val="36"/>
          <w:bdr w:val="single" w:color="auto" w:sz="4" w:space="0"/>
          <w:lang w:eastAsia="zh-CN"/>
        </w:rPr>
        <w:t>进行账务分类处理</w:t>
      </w:r>
      <w:r>
        <w:rPr>
          <w:rFonts w:hint="eastAsia" w:ascii="仿宋" w:hAnsi="仿宋" w:eastAsia="仿宋" w:cs="仿宋"/>
          <w:b/>
          <w:bCs/>
          <w:sz w:val="36"/>
          <w:szCs w:val="36"/>
          <w:lang w:eastAsia="zh-CN"/>
        </w:rPr>
        <w:t>→</w:t>
      </w:r>
    </w:p>
    <w:p>
      <w:pPr>
        <w:jc w:val="both"/>
        <w:rPr>
          <w:rFonts w:hint="eastAsia" w:ascii="仿宋" w:hAnsi="仿宋" w:eastAsia="仿宋" w:cs="仿宋"/>
          <w:b/>
          <w:bCs/>
          <w:sz w:val="36"/>
          <w:szCs w:val="36"/>
          <w:lang w:eastAsia="zh-CN"/>
        </w:rPr>
      </w:pPr>
    </w:p>
    <w:p>
      <w:pPr>
        <w:jc w:val="both"/>
        <w:rPr>
          <w:rFonts w:hint="eastAsia" w:ascii="仿宋" w:hAnsi="仿宋" w:eastAsia="仿宋" w:cs="仿宋"/>
          <w:b/>
          <w:bCs/>
          <w:sz w:val="36"/>
          <w:szCs w:val="36"/>
          <w:lang w:eastAsia="zh-CN"/>
        </w:rPr>
      </w:pPr>
      <w:r>
        <w:rPr>
          <w:rFonts w:hint="eastAsia" w:ascii="仿宋" w:hAnsi="仿宋" w:eastAsia="仿宋" w:cs="仿宋"/>
          <w:b/>
          <w:bCs/>
          <w:sz w:val="36"/>
          <w:szCs w:val="36"/>
          <w:bdr w:val="single" w:color="auto" w:sz="4" w:space="0"/>
          <w:lang w:eastAsia="zh-CN"/>
        </w:rPr>
        <w:t>制定资产负债报表</w:t>
      </w:r>
      <w:r>
        <w:rPr>
          <w:rFonts w:hint="eastAsia" w:ascii="仿宋" w:hAnsi="仿宋" w:eastAsia="仿宋" w:cs="仿宋"/>
          <w:b/>
          <w:bCs/>
          <w:sz w:val="36"/>
          <w:szCs w:val="36"/>
          <w:lang w:eastAsia="zh-CN"/>
        </w:rPr>
        <w:t>→</w:t>
      </w:r>
      <w:r>
        <w:rPr>
          <w:rFonts w:hint="eastAsia" w:ascii="仿宋" w:hAnsi="仿宋" w:eastAsia="仿宋" w:cs="仿宋"/>
          <w:b/>
          <w:bCs/>
          <w:sz w:val="36"/>
          <w:szCs w:val="36"/>
          <w:bdr w:val="single" w:color="auto" w:sz="4" w:space="0"/>
          <w:lang w:eastAsia="zh-CN"/>
        </w:rPr>
        <w:t>申请验收监督审计</w:t>
      </w:r>
      <w:r>
        <w:rPr>
          <w:rFonts w:hint="eastAsia" w:ascii="仿宋" w:hAnsi="仿宋" w:eastAsia="仿宋" w:cs="仿宋"/>
          <w:b/>
          <w:bCs/>
          <w:sz w:val="36"/>
          <w:szCs w:val="36"/>
          <w:lang w:eastAsia="zh-CN"/>
        </w:rPr>
        <w:t>→</w:t>
      </w:r>
      <w:r>
        <w:rPr>
          <w:rFonts w:hint="eastAsia" w:ascii="仿宋" w:hAnsi="仿宋" w:eastAsia="仿宋" w:cs="仿宋"/>
          <w:b/>
          <w:bCs/>
          <w:sz w:val="36"/>
          <w:szCs w:val="36"/>
          <w:bdr w:val="single" w:color="auto" w:sz="4" w:space="0"/>
          <w:lang w:eastAsia="zh-CN"/>
        </w:rPr>
        <w:t>建立健全规章台账</w:t>
      </w:r>
      <w:r>
        <w:rPr>
          <w:rFonts w:hint="eastAsia" w:ascii="仿宋" w:hAnsi="仿宋" w:eastAsia="仿宋" w:cs="仿宋"/>
          <w:b/>
          <w:bCs/>
          <w:sz w:val="36"/>
          <w:szCs w:val="36"/>
          <w:lang w:eastAsia="zh-CN"/>
        </w:rPr>
        <w:t>→</w:t>
      </w:r>
      <w:r>
        <w:rPr>
          <w:rFonts w:hint="eastAsia" w:ascii="仿宋" w:hAnsi="仿宋" w:eastAsia="仿宋" w:cs="仿宋"/>
          <w:b/>
          <w:bCs/>
          <w:sz w:val="36"/>
          <w:szCs w:val="36"/>
          <w:bdr w:val="single" w:color="auto" w:sz="4" w:space="0"/>
          <w:lang w:eastAsia="zh-CN"/>
        </w:rPr>
        <w:t>移交新型组织管理</w:t>
      </w:r>
    </w:p>
    <w:p>
      <w:pPr>
        <w:keepNext w:val="0"/>
        <w:keepLines w:val="0"/>
        <w:pageBreakBefore w:val="0"/>
        <w:widowControl w:val="0"/>
        <w:kinsoku/>
        <w:wordWrap/>
        <w:overflowPunct/>
        <w:topLinePunct w:val="0"/>
        <w:autoSpaceDE/>
        <w:autoSpaceDN/>
        <w:bidi w:val="0"/>
        <w:adjustRightInd/>
        <w:spacing w:line="620" w:lineRule="exact"/>
        <w:jc w:val="center"/>
        <w:textAlignment w:val="auto"/>
        <w:outlineLvl w:val="9"/>
        <w:rPr>
          <w:rFonts w:hint="eastAsia" w:ascii="方正小标宋简体" w:hAnsi="方正小标宋简体" w:eastAsia="方正小标宋简体" w:cs="方正小标宋简体"/>
          <w:b w:val="0"/>
          <w:bCs w:val="0"/>
          <w:color w:val="000000"/>
          <w:sz w:val="44"/>
          <w:szCs w:val="44"/>
          <w:lang w:eastAsia="zh-CN"/>
        </w:rPr>
        <w:sectPr>
          <w:pgSz w:w="16838" w:h="11906" w:orient="landscape"/>
          <w:pgMar w:top="1701" w:right="1644" w:bottom="1644" w:left="1644" w:header="851" w:footer="992" w:gutter="0"/>
          <w:pgNumType w:fmt="decimal"/>
          <w:cols w:space="0" w:num="1"/>
          <w:rtlGutter w:val="0"/>
          <w:docGrid w:type="lines" w:linePitch="317" w:charSpace="0"/>
        </w:sectPr>
      </w:pPr>
    </w:p>
    <w:p>
      <w:pPr>
        <w:keepNext w:val="0"/>
        <w:keepLines w:val="0"/>
        <w:pageBreakBefore w:val="0"/>
        <w:widowControl w:val="0"/>
        <w:kinsoku/>
        <w:wordWrap/>
        <w:overflowPunct/>
        <w:topLinePunct w:val="0"/>
        <w:autoSpaceDE/>
        <w:autoSpaceDN/>
        <w:bidi w:val="0"/>
        <w:adjustRightInd/>
        <w:spacing w:line="620" w:lineRule="exact"/>
        <w:jc w:val="center"/>
        <w:textAlignment w:val="auto"/>
        <w:outlineLvl w:val="9"/>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馆陶县农村资产清产核资工作</w:t>
      </w:r>
    </w:p>
    <w:p>
      <w:pPr>
        <w:keepNext w:val="0"/>
        <w:keepLines w:val="0"/>
        <w:pageBreakBefore w:val="0"/>
        <w:widowControl w:val="0"/>
        <w:kinsoku/>
        <w:wordWrap/>
        <w:overflowPunct/>
        <w:topLinePunct w:val="0"/>
        <w:autoSpaceDE/>
        <w:autoSpaceDN/>
        <w:bidi w:val="0"/>
        <w:adjustRightInd/>
        <w:spacing w:line="620" w:lineRule="exact"/>
        <w:ind w:firstLine="880" w:firstLineChars="200"/>
        <w:jc w:val="center"/>
        <w:textAlignment w:val="auto"/>
        <w:outlineLvl w:val="9"/>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实务操作流程及要求</w:t>
      </w:r>
    </w:p>
    <w:p>
      <w:pPr>
        <w:keepNext w:val="0"/>
        <w:keepLines w:val="0"/>
        <w:pageBreakBefore w:val="0"/>
        <w:widowControl w:val="0"/>
        <w:kinsoku/>
        <w:wordWrap/>
        <w:overflowPunct/>
        <w:topLinePunct w:val="0"/>
        <w:autoSpaceDE/>
        <w:autoSpaceDN/>
        <w:bidi w:val="0"/>
        <w:adjustRightInd/>
        <w:spacing w:line="620" w:lineRule="exact"/>
        <w:ind w:firstLine="640" w:firstLineChars="200"/>
        <w:textAlignment w:val="auto"/>
        <w:outlineLvl w:val="9"/>
        <w:rPr>
          <w:rFonts w:hint="eastAsia" w:ascii="黑体" w:hAnsi="仿宋_GB2312" w:eastAsia="黑体"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333333"/>
          <w:sz w:val="32"/>
          <w:szCs w:val="32"/>
          <w:highlight w:val="white"/>
        </w:rPr>
      </w:pPr>
      <w:r>
        <w:rPr>
          <w:rFonts w:hint="eastAsia" w:ascii="仿宋_GB2312" w:hAnsi="仿宋_GB2312" w:eastAsia="仿宋_GB2312" w:cs="仿宋_GB2312"/>
          <w:color w:val="333333"/>
          <w:sz w:val="32"/>
          <w:szCs w:val="32"/>
          <w:highlight w:val="white"/>
          <w:lang w:eastAsia="zh-CN"/>
        </w:rPr>
        <w:t>根据</w:t>
      </w:r>
      <w:r>
        <w:rPr>
          <w:rFonts w:hint="eastAsia" w:ascii="仿宋_GB2312" w:hAnsi="仿宋_GB2312" w:eastAsia="仿宋_GB2312" w:cs="仿宋_GB2312"/>
          <w:color w:val="333333"/>
          <w:sz w:val="32"/>
          <w:szCs w:val="32"/>
          <w:highlight w:val="white"/>
        </w:rPr>
        <w:t>河北省农工办等十部门联合下发</w:t>
      </w:r>
      <w:r>
        <w:rPr>
          <w:rFonts w:hint="eastAsia" w:ascii="仿宋_GB2312" w:hAnsi="仿宋_GB2312" w:eastAsia="仿宋_GB2312" w:cs="仿宋_GB2312"/>
          <w:color w:val="333333"/>
          <w:sz w:val="32"/>
          <w:szCs w:val="32"/>
          <w:highlight w:val="white"/>
          <w:lang w:eastAsia="zh-CN"/>
        </w:rPr>
        <w:t>的</w:t>
      </w:r>
      <w:r>
        <w:rPr>
          <w:rFonts w:hint="eastAsia" w:ascii="仿宋_GB2312" w:hAnsi="仿宋_GB2312" w:eastAsia="仿宋_GB2312" w:cs="仿宋_GB2312"/>
          <w:color w:val="333333"/>
          <w:sz w:val="32"/>
          <w:szCs w:val="32"/>
          <w:highlight w:val="white"/>
        </w:rPr>
        <w:t>《关于全面开展农村集体资产清产核资工作的通知》（冀农村改发【2018】2号）</w:t>
      </w:r>
      <w:r>
        <w:rPr>
          <w:rFonts w:hint="eastAsia" w:ascii="仿宋_GB2312" w:hAnsi="仿宋_GB2312" w:eastAsia="仿宋_GB2312" w:cs="仿宋_GB2312"/>
          <w:color w:val="333333"/>
          <w:sz w:val="32"/>
          <w:szCs w:val="32"/>
          <w:highlight w:val="white"/>
          <w:lang w:eastAsia="zh-CN"/>
        </w:rPr>
        <w:t>要求，按照</w:t>
      </w:r>
      <w:r>
        <w:rPr>
          <w:rFonts w:hint="eastAsia" w:ascii="仿宋_GB2312" w:hAnsi="仿宋_GB2312" w:eastAsia="仿宋_GB2312" w:cs="仿宋_GB2312"/>
          <w:color w:val="333333"/>
          <w:sz w:val="32"/>
          <w:szCs w:val="32"/>
          <w:highlight w:val="white"/>
        </w:rPr>
        <w:t>“宣传发动-成立机构-开展培训-制定方案-清查核实-两次公示-确认结果-账务调整-建立台账-纳入平台-汇总上报-完善制度”</w:t>
      </w:r>
      <w:r>
        <w:rPr>
          <w:rFonts w:hint="eastAsia" w:ascii="仿宋_GB2312" w:hAnsi="仿宋_GB2312" w:eastAsia="仿宋_GB2312" w:cs="仿宋_GB2312"/>
          <w:color w:val="333333"/>
          <w:sz w:val="32"/>
          <w:szCs w:val="32"/>
          <w:highlight w:val="white"/>
          <w:lang w:eastAsia="zh-CN"/>
        </w:rPr>
        <w:t>程序，扎实开展</w:t>
      </w:r>
      <w:r>
        <w:rPr>
          <w:rFonts w:hint="eastAsia" w:ascii="仿宋_GB2312" w:hAnsi="仿宋_GB2312" w:eastAsia="仿宋_GB2312" w:cs="仿宋_GB2312"/>
          <w:color w:val="333333"/>
          <w:sz w:val="32"/>
          <w:szCs w:val="32"/>
          <w:highlight w:val="white"/>
        </w:rPr>
        <w:t>农村集体资产清产核资</w:t>
      </w:r>
      <w:r>
        <w:rPr>
          <w:rFonts w:hint="eastAsia" w:ascii="仿宋_GB2312" w:hAnsi="仿宋_GB2312" w:eastAsia="仿宋_GB2312" w:cs="仿宋_GB2312"/>
          <w:color w:val="333333"/>
          <w:sz w:val="32"/>
          <w:szCs w:val="32"/>
          <w:highlight w:val="white"/>
          <w:lang w:eastAsia="zh-CN"/>
        </w:rPr>
        <w:t>工作</w:t>
      </w:r>
      <w:r>
        <w:rPr>
          <w:rFonts w:hint="eastAsia" w:ascii="仿宋_GB2312" w:hAnsi="仿宋_GB2312" w:eastAsia="仿宋_GB2312" w:cs="仿宋_GB2312"/>
          <w:color w:val="333333"/>
          <w:sz w:val="32"/>
          <w:szCs w:val="32"/>
          <w:highlight w:val="whit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333333"/>
          <w:sz w:val="32"/>
          <w:szCs w:val="32"/>
          <w:highlight w:val="white"/>
          <w:lang w:eastAsia="zh-CN"/>
        </w:rPr>
      </w:pPr>
      <w:r>
        <w:rPr>
          <w:rFonts w:hint="eastAsia" w:ascii="黑体" w:hAnsi="黑体" w:eastAsia="黑体" w:cs="黑体"/>
          <w:color w:val="333333"/>
          <w:sz w:val="32"/>
          <w:szCs w:val="32"/>
          <w:highlight w:val="white"/>
          <w:lang w:eastAsia="zh-CN"/>
        </w:rPr>
        <w:t>一、</w:t>
      </w:r>
      <w:r>
        <w:rPr>
          <w:rFonts w:hint="eastAsia" w:ascii="黑体" w:hAnsi="黑体" w:eastAsia="黑体" w:cs="黑体"/>
          <w:color w:val="333333"/>
          <w:sz w:val="32"/>
          <w:szCs w:val="32"/>
          <w:highlight w:val="white"/>
        </w:rPr>
        <w:t>宣传发动。</w:t>
      </w:r>
      <w:r>
        <w:rPr>
          <w:rFonts w:hint="eastAsia" w:ascii="仿宋_GB2312" w:hAnsi="仿宋_GB2312" w:eastAsia="仿宋_GB2312" w:cs="仿宋_GB2312"/>
          <w:color w:val="333333"/>
          <w:sz w:val="32"/>
          <w:szCs w:val="32"/>
          <w:highlight w:val="white"/>
        </w:rPr>
        <w:t>利用</w:t>
      </w:r>
      <w:r>
        <w:rPr>
          <w:rFonts w:hint="eastAsia" w:ascii="仿宋_GB2312" w:hAnsi="仿宋_GB2312" w:eastAsia="仿宋_GB2312" w:cs="仿宋_GB2312"/>
          <w:b w:val="0"/>
          <w:bCs w:val="0"/>
          <w:color w:val="333333"/>
          <w:sz w:val="32"/>
          <w:szCs w:val="32"/>
          <w:highlight w:val="white"/>
          <w:lang w:eastAsia="zh-CN"/>
        </w:rPr>
        <w:t>刷写固定标语、通俗易懂的宣传漫画、</w:t>
      </w:r>
      <w:r>
        <w:rPr>
          <w:rFonts w:hint="eastAsia" w:ascii="仿宋_GB2312" w:hAnsi="仿宋_GB2312" w:eastAsia="仿宋_GB2312" w:cs="仿宋_GB2312"/>
          <w:color w:val="333333"/>
          <w:sz w:val="32"/>
          <w:szCs w:val="32"/>
          <w:highlight w:val="white"/>
        </w:rPr>
        <w:t>印发明白纸、宣传手册等形式，广泛宣传开展农村集体产权制度改革的重大意义，宣传进行清产核资的必要性，使乡村干部和广大群众提高认识，激发干部群众参与改革的积极性、主动性。</w:t>
      </w:r>
      <w:r>
        <w:rPr>
          <w:rFonts w:hint="eastAsia" w:ascii="仿宋_GB2312" w:hAnsi="仿宋_GB2312" w:eastAsia="仿宋_GB2312" w:cs="仿宋_GB2312"/>
          <w:b w:val="0"/>
          <w:bCs w:val="0"/>
          <w:color w:val="333333"/>
          <w:sz w:val="32"/>
          <w:szCs w:val="32"/>
          <w:highlight w:val="white"/>
          <w:lang w:eastAsia="zh-CN"/>
        </w:rPr>
        <w:t>要留有资料、痕迹、照片等</w:t>
      </w:r>
      <w:r>
        <w:rPr>
          <w:rFonts w:hint="eastAsia" w:ascii="仿宋_GB2312" w:hAnsi="仿宋_GB2312" w:eastAsia="仿宋_GB2312" w:cs="仿宋_GB2312"/>
          <w:b/>
          <w:bCs/>
          <w:color w:val="333333"/>
          <w:sz w:val="32"/>
          <w:szCs w:val="32"/>
          <w:highlight w:val="whit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bCs/>
          <w:color w:val="333333"/>
          <w:sz w:val="32"/>
          <w:szCs w:val="32"/>
          <w:highlight w:val="white"/>
          <w:lang w:eastAsia="zh-CN"/>
        </w:rPr>
      </w:pPr>
      <w:r>
        <w:rPr>
          <w:rFonts w:hint="eastAsia" w:ascii="黑体" w:hAnsi="黑体" w:eastAsia="黑体" w:cs="黑体"/>
          <w:color w:val="333333"/>
          <w:sz w:val="32"/>
          <w:szCs w:val="32"/>
          <w:highlight w:val="white"/>
          <w:lang w:eastAsia="zh-CN"/>
        </w:rPr>
        <w:t>二、</w:t>
      </w:r>
      <w:r>
        <w:rPr>
          <w:rFonts w:hint="eastAsia" w:ascii="黑体" w:hAnsi="黑体" w:eastAsia="黑体" w:cs="黑体"/>
          <w:color w:val="333333"/>
          <w:sz w:val="32"/>
          <w:szCs w:val="32"/>
          <w:highlight w:val="white"/>
        </w:rPr>
        <w:t>成立机构。</w:t>
      </w:r>
      <w:r>
        <w:rPr>
          <w:rFonts w:hint="eastAsia" w:ascii="仿宋_GB2312" w:hAnsi="仿宋_GB2312" w:eastAsia="仿宋_GB2312" w:cs="仿宋_GB2312"/>
          <w:color w:val="333333"/>
          <w:sz w:val="32"/>
          <w:szCs w:val="32"/>
          <w:highlight w:val="white"/>
          <w:lang w:eastAsia="zh-CN"/>
        </w:rPr>
        <w:t>召开村集体产权制度改革领导小组会议和村民代表会议，通过</w:t>
      </w:r>
      <w:r>
        <w:rPr>
          <w:rFonts w:hint="eastAsia" w:ascii="仿宋_GB2312" w:hAnsi="仿宋_GB2312" w:eastAsia="仿宋_GB2312" w:cs="仿宋_GB2312"/>
          <w:color w:val="333333"/>
          <w:sz w:val="32"/>
          <w:szCs w:val="32"/>
          <w:highlight w:val="white"/>
        </w:rPr>
        <w:t>成立由乡镇、村、组、企业干部、财务人员、村务监督委员会成员（或民主理财小组成员）、成员代表等参加的清产核资工作小组。</w:t>
      </w:r>
      <w:r>
        <w:rPr>
          <w:rFonts w:hint="eastAsia" w:ascii="仿宋_GB2312" w:hAnsi="仿宋_GB2312" w:eastAsia="仿宋_GB2312" w:cs="仿宋_GB2312"/>
          <w:b w:val="0"/>
          <w:bCs w:val="0"/>
          <w:color w:val="333333"/>
          <w:sz w:val="32"/>
          <w:szCs w:val="32"/>
          <w:highlight w:val="white"/>
          <w:lang w:eastAsia="zh-CN"/>
        </w:rPr>
        <w:t>要有会议记录、照片和通过的小组名单</w:t>
      </w:r>
      <w:r>
        <w:rPr>
          <w:rFonts w:hint="eastAsia" w:ascii="仿宋_GB2312" w:hAnsi="仿宋_GB2312" w:eastAsia="仿宋_GB2312" w:cs="仿宋_GB2312"/>
          <w:b/>
          <w:bCs/>
          <w:color w:val="333333"/>
          <w:sz w:val="32"/>
          <w:szCs w:val="32"/>
          <w:highlight w:val="whit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bCs/>
          <w:i w:val="0"/>
          <w:iCs w:val="0"/>
          <w:color w:val="333333"/>
          <w:sz w:val="32"/>
          <w:szCs w:val="32"/>
          <w:highlight w:val="white"/>
          <w:lang w:eastAsia="zh-CN"/>
        </w:rPr>
      </w:pPr>
      <w:r>
        <w:rPr>
          <w:rFonts w:hint="eastAsia" w:ascii="黑体" w:hAnsi="黑体" w:eastAsia="黑体" w:cs="黑体"/>
          <w:color w:val="333333"/>
          <w:sz w:val="32"/>
          <w:szCs w:val="32"/>
          <w:highlight w:val="white"/>
          <w:lang w:eastAsia="zh-CN"/>
        </w:rPr>
        <w:t>三、</w:t>
      </w:r>
      <w:r>
        <w:rPr>
          <w:rFonts w:hint="eastAsia" w:ascii="黑体" w:hAnsi="黑体" w:eastAsia="黑体" w:cs="黑体"/>
          <w:color w:val="333333"/>
          <w:sz w:val="32"/>
          <w:szCs w:val="32"/>
          <w:highlight w:val="white"/>
        </w:rPr>
        <w:t>开展培训。</w:t>
      </w:r>
      <w:r>
        <w:rPr>
          <w:rFonts w:hint="eastAsia" w:ascii="仿宋_GB2312" w:hAnsi="仿宋_GB2312" w:eastAsia="仿宋_GB2312" w:cs="仿宋_GB2312"/>
          <w:color w:val="333333"/>
          <w:sz w:val="32"/>
          <w:szCs w:val="32"/>
          <w:highlight w:val="white"/>
        </w:rPr>
        <w:t>乡镇负责对村级清产核资工作小组及有关人员进行培训。</w:t>
      </w:r>
      <w:r>
        <w:rPr>
          <w:rFonts w:hint="eastAsia" w:ascii="仿宋_GB2312" w:hAnsi="仿宋_GB2312" w:eastAsia="仿宋_GB2312" w:cs="仿宋_GB2312"/>
          <w:b w:val="0"/>
          <w:bCs w:val="0"/>
          <w:color w:val="333333"/>
          <w:sz w:val="32"/>
          <w:szCs w:val="32"/>
          <w:highlight w:val="white"/>
          <w:lang w:eastAsia="zh-CN"/>
        </w:rPr>
        <w:t>要</w:t>
      </w:r>
      <w:r>
        <w:rPr>
          <w:rFonts w:hint="eastAsia" w:ascii="仿宋_GB2312" w:hAnsi="仿宋_GB2312" w:eastAsia="仿宋_GB2312" w:cs="仿宋_GB2312"/>
          <w:b w:val="0"/>
          <w:bCs w:val="0"/>
          <w:i w:val="0"/>
          <w:iCs w:val="0"/>
          <w:color w:val="333333"/>
          <w:sz w:val="32"/>
          <w:szCs w:val="32"/>
          <w:highlight w:val="white"/>
          <w:lang w:eastAsia="zh-CN"/>
        </w:rPr>
        <w:t>有培训方案、培训照片、领导讲话等资料</w:t>
      </w:r>
      <w:r>
        <w:rPr>
          <w:rFonts w:hint="eastAsia" w:ascii="仿宋_GB2312" w:hAnsi="仿宋_GB2312" w:eastAsia="仿宋_GB2312" w:cs="仿宋_GB2312"/>
          <w:b/>
          <w:bCs/>
          <w:i w:val="0"/>
          <w:iCs w:val="0"/>
          <w:color w:val="333333"/>
          <w:sz w:val="32"/>
          <w:szCs w:val="32"/>
          <w:highlight w:val="whit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bCs/>
          <w:color w:val="333333"/>
          <w:sz w:val="32"/>
          <w:szCs w:val="32"/>
          <w:highlight w:val="white"/>
          <w:lang w:eastAsia="zh-CN"/>
        </w:rPr>
      </w:pPr>
      <w:r>
        <w:rPr>
          <w:rFonts w:hint="eastAsia" w:ascii="黑体" w:hAnsi="黑体" w:eastAsia="黑体" w:cs="黑体"/>
          <w:color w:val="333333"/>
          <w:sz w:val="32"/>
          <w:szCs w:val="32"/>
          <w:highlight w:val="white"/>
          <w:lang w:eastAsia="zh-CN"/>
        </w:rPr>
        <w:t>四、</w:t>
      </w:r>
      <w:r>
        <w:rPr>
          <w:rFonts w:hint="eastAsia" w:ascii="黑体" w:hAnsi="黑体" w:eastAsia="黑体" w:cs="黑体"/>
          <w:color w:val="333333"/>
          <w:sz w:val="32"/>
          <w:szCs w:val="32"/>
          <w:highlight w:val="white"/>
        </w:rPr>
        <w:t>制定方案。</w:t>
      </w:r>
      <w:r>
        <w:rPr>
          <w:rFonts w:hint="eastAsia" w:ascii="仿宋_GB2312" w:hAnsi="仿宋_GB2312" w:eastAsia="仿宋_GB2312" w:cs="仿宋_GB2312"/>
          <w:color w:val="333333"/>
          <w:sz w:val="32"/>
          <w:szCs w:val="32"/>
          <w:highlight w:val="white"/>
        </w:rPr>
        <w:t>乡镇、村、组集体经济组织制定清产核资实施方案，并报乡镇政府备案。</w:t>
      </w:r>
      <w:r>
        <w:rPr>
          <w:rFonts w:hint="eastAsia" w:ascii="仿宋_GB2312" w:hAnsi="仿宋_GB2312" w:eastAsia="仿宋_GB2312" w:cs="仿宋_GB2312"/>
          <w:b w:val="0"/>
          <w:bCs w:val="0"/>
          <w:color w:val="333333"/>
          <w:sz w:val="32"/>
          <w:szCs w:val="32"/>
          <w:highlight w:val="white"/>
          <w:lang w:eastAsia="zh-CN"/>
        </w:rPr>
        <w:t>要求</w:t>
      </w:r>
      <w:r>
        <w:rPr>
          <w:rFonts w:hint="eastAsia" w:ascii="仿宋_GB2312" w:hAnsi="仿宋_GB2312" w:eastAsia="仿宋_GB2312" w:cs="仿宋_GB2312"/>
          <w:b w:val="0"/>
          <w:bCs w:val="0"/>
          <w:color w:val="333333"/>
          <w:sz w:val="32"/>
          <w:szCs w:val="32"/>
          <w:highlight w:val="white"/>
        </w:rPr>
        <w:t>实施方案包括：清产核资工作机构、工作目标、工作内容、实施步骤、时间安排、保障措施等</w:t>
      </w:r>
      <w:r>
        <w:rPr>
          <w:rFonts w:hint="eastAsia" w:ascii="仿宋_GB2312" w:hAnsi="仿宋_GB2312" w:eastAsia="仿宋_GB2312" w:cs="仿宋_GB2312"/>
          <w:b w:val="0"/>
          <w:bCs w:val="0"/>
          <w:color w:val="333333"/>
          <w:sz w:val="32"/>
          <w:szCs w:val="32"/>
          <w:highlight w:val="white"/>
          <w:lang w:eastAsia="zh-CN"/>
        </w:rPr>
        <w:t>。乡镇方案要用红头正式党委或者农村集体产权制度改革领导小组文件，村方案不要完全照托照搬县乡方案</w:t>
      </w:r>
      <w:r>
        <w:rPr>
          <w:rFonts w:hint="eastAsia" w:ascii="仿宋_GB2312" w:hAnsi="仿宋_GB2312" w:eastAsia="仿宋_GB2312" w:cs="仿宋_GB2312"/>
          <w:b/>
          <w:bCs/>
          <w:color w:val="333333"/>
          <w:sz w:val="32"/>
          <w:szCs w:val="32"/>
          <w:highlight w:val="whit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333333"/>
          <w:sz w:val="32"/>
          <w:szCs w:val="32"/>
          <w:highlight w:val="white"/>
        </w:rPr>
      </w:pPr>
      <w:r>
        <w:rPr>
          <w:rFonts w:hint="eastAsia" w:ascii="黑体" w:hAnsi="黑体" w:eastAsia="黑体" w:cs="黑体"/>
          <w:color w:val="333333"/>
          <w:sz w:val="32"/>
          <w:szCs w:val="32"/>
          <w:highlight w:val="white"/>
          <w:lang w:eastAsia="zh-CN"/>
        </w:rPr>
        <w:t>五、</w:t>
      </w:r>
      <w:r>
        <w:rPr>
          <w:rFonts w:hint="eastAsia" w:ascii="黑体" w:hAnsi="黑体" w:eastAsia="黑体" w:cs="黑体"/>
          <w:color w:val="333333"/>
          <w:sz w:val="32"/>
          <w:szCs w:val="32"/>
          <w:highlight w:val="white"/>
        </w:rPr>
        <w:t>清查核实。</w:t>
      </w:r>
      <w:r>
        <w:rPr>
          <w:rFonts w:hint="eastAsia" w:ascii="仿宋_GB2312" w:hAnsi="仿宋_GB2312" w:eastAsia="仿宋_GB2312" w:cs="仿宋_GB2312"/>
          <w:color w:val="333333"/>
          <w:sz w:val="32"/>
          <w:szCs w:val="32"/>
          <w:highlight w:val="white"/>
        </w:rPr>
        <w:t>乡镇、村、组集体经济组织清产核资工作小组在确定确属的基础上，按照实施方案组织实施，对集体经济组织在规定时点的集体资金、资产、资源进行全面清查核实，造册登记。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333333"/>
          <w:sz w:val="32"/>
          <w:szCs w:val="32"/>
          <w:highlight w:val="white"/>
          <w:lang w:val="en-US" w:eastAsia="zh-CN"/>
        </w:rPr>
      </w:pPr>
      <w:r>
        <w:rPr>
          <w:rFonts w:hint="eastAsia" w:ascii="仿宋_GB2312" w:hAnsi="仿宋_GB2312" w:eastAsia="仿宋_GB2312" w:cs="仿宋_GB2312"/>
          <w:color w:val="333333"/>
          <w:sz w:val="32"/>
          <w:szCs w:val="32"/>
          <w:highlight w:val="white"/>
          <w:lang w:val="en-US" w:eastAsia="zh-CN"/>
        </w:rPr>
        <w:t>1、开展资产清查核实，首先确定资产权属，然后手工填写《农村集体资产清产核资摸底调查表》</w:t>
      </w:r>
      <w:r>
        <w:rPr>
          <w:rFonts w:hint="eastAsia" w:ascii="仿宋_GB2312" w:hAnsi="仿宋_GB2312" w:eastAsia="仿宋_GB2312" w:cs="仿宋_GB2312"/>
          <w:b/>
          <w:bCs/>
          <w:color w:val="333333"/>
          <w:sz w:val="32"/>
          <w:szCs w:val="32"/>
          <w:highlight w:val="white"/>
          <w:lang w:val="en-US" w:eastAsia="zh-CN"/>
        </w:rPr>
        <w:t>，</w:t>
      </w:r>
      <w:r>
        <w:rPr>
          <w:rFonts w:hint="eastAsia" w:ascii="仿宋_GB2312" w:hAnsi="仿宋_GB2312" w:eastAsia="仿宋_GB2312" w:cs="仿宋_GB2312"/>
          <w:color w:val="333333"/>
          <w:sz w:val="32"/>
          <w:szCs w:val="32"/>
          <w:highlight w:val="white"/>
          <w:lang w:val="en-US" w:eastAsia="zh-CN"/>
        </w:rPr>
        <w:t>准确核准、录入《农村集体资产清产核资报表》</w:t>
      </w:r>
      <w:r>
        <w:rPr>
          <w:rFonts w:hint="eastAsia" w:ascii="仿宋_GB2312" w:hAnsi="仿宋_GB2312" w:eastAsia="仿宋_GB2312" w:cs="仿宋_GB2312"/>
          <w:b/>
          <w:bCs/>
          <w:color w:val="333333"/>
          <w:sz w:val="32"/>
          <w:szCs w:val="32"/>
          <w:highlight w:val="white"/>
          <w:lang w:val="en-US" w:eastAsia="zh-CN"/>
        </w:rPr>
        <w:t>，</w:t>
      </w:r>
      <w:r>
        <w:rPr>
          <w:rFonts w:hint="eastAsia" w:ascii="仿宋_GB2312" w:hAnsi="仿宋_GB2312" w:eastAsia="仿宋_GB2312" w:cs="仿宋_GB2312"/>
          <w:color w:val="333333"/>
          <w:sz w:val="32"/>
          <w:szCs w:val="32"/>
          <w:highlight w:val="white"/>
          <w:lang w:val="en-US" w:eastAsia="zh-CN"/>
        </w:rPr>
        <w:t>清产核资数据达到账物相符、账款相符、账账相符、账证相符、账表相符的“五相符”标准。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333333"/>
          <w:sz w:val="32"/>
          <w:szCs w:val="32"/>
          <w:highlight w:val="white"/>
          <w:lang w:val="en-US" w:eastAsia="zh-CN"/>
        </w:rPr>
      </w:pPr>
      <w:r>
        <w:rPr>
          <w:rFonts w:hint="eastAsia" w:ascii="仿宋_GB2312" w:hAnsi="仿宋_GB2312" w:eastAsia="仿宋_GB2312" w:cs="仿宋_GB2312"/>
          <w:color w:val="333333"/>
          <w:sz w:val="32"/>
          <w:szCs w:val="32"/>
          <w:highlight w:val="white"/>
          <w:lang w:val="en-US" w:eastAsia="zh-CN"/>
        </w:rPr>
        <w:t>2、在清产核资过程中，核实债权债务要有双方确认书；核销债权、债务、资产，资产盘盈盘亏调整，都要有审批表及相关会议记录</w:t>
      </w:r>
      <w:r>
        <w:rPr>
          <w:rFonts w:hint="eastAsia" w:ascii="仿宋_GB2312" w:hAnsi="仿宋_GB2312" w:eastAsia="仿宋_GB2312" w:cs="仿宋_GB2312"/>
          <w:b w:val="0"/>
          <w:bCs w:val="0"/>
          <w:color w:val="333333"/>
          <w:sz w:val="32"/>
          <w:szCs w:val="32"/>
          <w:highlight w:val="white"/>
          <w:lang w:val="en-US" w:eastAsia="zh-CN"/>
        </w:rPr>
        <w:t>；</w:t>
      </w:r>
      <w:r>
        <w:rPr>
          <w:rFonts w:hint="eastAsia" w:ascii="仿宋_GB2312" w:hAnsi="仿宋_GB2312" w:eastAsia="仿宋_GB2312" w:cs="仿宋_GB2312"/>
          <w:color w:val="333333"/>
          <w:sz w:val="32"/>
          <w:szCs w:val="32"/>
          <w:highlight w:val="white"/>
          <w:lang w:val="en-US" w:eastAsia="zh-CN"/>
        </w:rPr>
        <w:t>资产评估要有资产评估小组、表格、评估报告及会议记录等相关资料。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333333"/>
          <w:sz w:val="32"/>
          <w:szCs w:val="32"/>
          <w:highlight w:val="white"/>
          <w:lang w:val="en-US" w:eastAsia="zh-CN"/>
        </w:rPr>
      </w:pPr>
      <w:r>
        <w:rPr>
          <w:rFonts w:hint="eastAsia" w:ascii="仿宋_GB2312" w:hAnsi="仿宋_GB2312" w:eastAsia="仿宋_GB2312" w:cs="仿宋_GB2312"/>
          <w:color w:val="333333"/>
          <w:sz w:val="32"/>
          <w:szCs w:val="32"/>
          <w:highlight w:val="white"/>
          <w:lang w:val="en-US" w:eastAsia="zh-CN"/>
        </w:rPr>
        <w:t>3、结合涉农部门办理行政事业单位经管资产移交，完善移交手续，汇总入农村集体资产。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333333"/>
          <w:sz w:val="32"/>
          <w:szCs w:val="32"/>
          <w:highlight w:val="white"/>
          <w:lang w:val="en-US" w:eastAsia="zh-CN"/>
        </w:rPr>
      </w:pPr>
      <w:r>
        <w:rPr>
          <w:rFonts w:hint="eastAsia" w:ascii="仿宋_GB2312" w:hAnsi="仿宋_GB2312" w:eastAsia="仿宋_GB2312" w:cs="仿宋_GB2312"/>
          <w:color w:val="333333"/>
          <w:sz w:val="32"/>
          <w:szCs w:val="32"/>
          <w:highlight w:val="white"/>
          <w:lang w:val="en-US" w:eastAsia="zh-CN"/>
        </w:rPr>
        <w:t>4、结合农工委、土地局核准家庭承包地、宅基地数据，参照第二次全国土地调查数据，清查、核实、上报村集体资源性资产，确保资源数据真实有效；对资源数据有较大出入的，要认真核实、查找原因，并在表格备注栏中填写相关数据、注明原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333333"/>
          <w:sz w:val="32"/>
          <w:szCs w:val="32"/>
          <w:highlight w:val="white"/>
          <w:lang w:val="en-US" w:eastAsia="zh-CN"/>
        </w:rPr>
      </w:pPr>
      <w:r>
        <w:rPr>
          <w:rFonts w:hint="eastAsia" w:ascii="仿宋_GB2312" w:hAnsi="仿宋_GB2312" w:eastAsia="仿宋_GB2312" w:cs="仿宋_GB2312"/>
          <w:color w:val="333333"/>
          <w:sz w:val="32"/>
          <w:szCs w:val="32"/>
          <w:highlight w:val="white"/>
          <w:lang w:val="en-US" w:eastAsia="zh-CN"/>
        </w:rPr>
        <w:t>5、结合扫黑除恶专项斗争，集中开展清理、回收集体资源资产活动，及时上报侵吞、侵占集体资产的事件和行为，进行严厉打击。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333333"/>
          <w:sz w:val="32"/>
          <w:szCs w:val="32"/>
          <w:highlight w:val="white"/>
        </w:rPr>
      </w:pPr>
      <w:r>
        <w:rPr>
          <w:rFonts w:hint="eastAsia" w:ascii="黑体" w:hAnsi="黑体" w:eastAsia="黑体" w:cs="黑体"/>
          <w:color w:val="333333"/>
          <w:sz w:val="32"/>
          <w:szCs w:val="32"/>
          <w:highlight w:val="white"/>
          <w:lang w:eastAsia="zh-CN"/>
        </w:rPr>
        <w:t>六、</w:t>
      </w:r>
      <w:r>
        <w:rPr>
          <w:rFonts w:hint="eastAsia" w:ascii="黑体" w:hAnsi="黑体" w:eastAsia="黑体" w:cs="黑体"/>
          <w:color w:val="333333"/>
          <w:sz w:val="32"/>
          <w:szCs w:val="32"/>
          <w:highlight w:val="white"/>
        </w:rPr>
        <w:t>两次公示。</w:t>
      </w:r>
      <w:r>
        <w:rPr>
          <w:rFonts w:hint="eastAsia" w:ascii="仿宋_GB2312" w:hAnsi="仿宋_GB2312" w:eastAsia="仿宋_GB2312" w:cs="仿宋_GB2312"/>
          <w:color w:val="333333"/>
          <w:sz w:val="32"/>
          <w:szCs w:val="32"/>
          <w:highlight w:val="white"/>
        </w:rPr>
        <w:t>集体经济组织清查核实完成后，要将清查核实结果向集体经济组织成员公示（其中，盘盈、盘亏、报废、毁损的资产和核销的债权债务应逐项公示），公示期不少于7天。群众有异议的，整改后进行再次公示，公示期不少于5天。公示期间</w:t>
      </w:r>
      <w:r>
        <w:rPr>
          <w:rFonts w:hint="eastAsia" w:ascii="仿宋_GB2312" w:hAnsi="仿宋_GB2312" w:eastAsia="仿宋_GB2312" w:cs="仿宋_GB2312"/>
          <w:color w:val="333333"/>
          <w:sz w:val="32"/>
          <w:szCs w:val="32"/>
          <w:highlight w:val="white"/>
          <w:lang w:eastAsia="zh-CN"/>
        </w:rPr>
        <w:t>，</w:t>
      </w:r>
      <w:r>
        <w:rPr>
          <w:rFonts w:hint="eastAsia" w:ascii="仿宋_GB2312" w:hAnsi="仿宋_GB2312" w:eastAsia="仿宋_GB2312" w:cs="仿宋_GB2312"/>
          <w:color w:val="333333"/>
          <w:sz w:val="32"/>
          <w:szCs w:val="32"/>
          <w:highlight w:val="white"/>
        </w:rPr>
        <w:t>应安排专人答疑解惑</w:t>
      </w:r>
      <w:r>
        <w:rPr>
          <w:rFonts w:hint="eastAsia" w:ascii="仿宋_GB2312" w:hAnsi="仿宋_GB2312" w:eastAsia="仿宋_GB2312" w:cs="仿宋_GB2312"/>
          <w:color w:val="333333"/>
          <w:sz w:val="32"/>
          <w:szCs w:val="32"/>
          <w:highlight w:val="white"/>
          <w:lang w:eastAsia="zh-CN"/>
        </w:rPr>
        <w:t>，保存好公示照片</w:t>
      </w:r>
      <w:r>
        <w:rPr>
          <w:rFonts w:hint="eastAsia" w:ascii="仿宋_GB2312" w:hAnsi="仿宋_GB2312" w:eastAsia="仿宋_GB2312" w:cs="仿宋_GB2312"/>
          <w:color w:val="333333"/>
          <w:sz w:val="32"/>
          <w:szCs w:val="32"/>
          <w:highlight w:val="whit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highlight w:val="white"/>
        </w:rPr>
      </w:pPr>
      <w:r>
        <w:rPr>
          <w:rFonts w:hint="eastAsia" w:ascii="黑体" w:hAnsi="黑体" w:eastAsia="黑体" w:cs="黑体"/>
          <w:color w:val="auto"/>
          <w:sz w:val="32"/>
          <w:szCs w:val="32"/>
          <w:highlight w:val="white"/>
          <w:lang w:eastAsia="zh-CN"/>
        </w:rPr>
        <w:t>七、</w:t>
      </w:r>
      <w:r>
        <w:rPr>
          <w:rFonts w:hint="eastAsia" w:ascii="黑体" w:hAnsi="黑体" w:eastAsia="黑体" w:cs="黑体"/>
          <w:color w:val="auto"/>
          <w:sz w:val="32"/>
          <w:szCs w:val="32"/>
          <w:highlight w:val="white"/>
        </w:rPr>
        <w:t>确认结果。</w:t>
      </w:r>
      <w:r>
        <w:rPr>
          <w:rFonts w:hint="eastAsia" w:ascii="仿宋_GB2312" w:hAnsi="仿宋_GB2312" w:eastAsia="仿宋_GB2312" w:cs="仿宋_GB2312"/>
          <w:color w:val="auto"/>
          <w:sz w:val="32"/>
          <w:szCs w:val="32"/>
          <w:highlight w:val="white"/>
        </w:rPr>
        <w:t>农村集体经济组织召开成员（代表）会议，确认通过公示后的清产核资结果。</w:t>
      </w:r>
      <w:r>
        <w:rPr>
          <w:rFonts w:hint="eastAsia" w:ascii="仿宋_GB2312" w:hAnsi="仿宋_GB2312" w:eastAsia="仿宋_GB2312" w:cs="仿宋_GB2312"/>
          <w:color w:val="auto"/>
          <w:sz w:val="32"/>
          <w:szCs w:val="32"/>
          <w:highlight w:val="white"/>
          <w:lang w:eastAsia="zh-CN"/>
        </w:rPr>
        <w:t>村级提出验收请示</w:t>
      </w:r>
      <w:r>
        <w:rPr>
          <w:rFonts w:hint="eastAsia" w:ascii="仿宋_GB2312" w:hAnsi="仿宋_GB2312" w:eastAsia="仿宋_GB2312" w:cs="仿宋_GB2312"/>
          <w:b w:val="0"/>
          <w:bCs w:val="0"/>
          <w:color w:val="auto"/>
          <w:sz w:val="32"/>
          <w:szCs w:val="32"/>
          <w:highlight w:val="white"/>
          <w:lang w:eastAsia="zh-CN"/>
        </w:rPr>
        <w:t>，</w:t>
      </w:r>
      <w:r>
        <w:rPr>
          <w:rFonts w:hint="eastAsia" w:ascii="仿宋_GB2312" w:hAnsi="仿宋_GB2312" w:eastAsia="仿宋_GB2312" w:cs="仿宋_GB2312"/>
          <w:color w:val="auto"/>
          <w:sz w:val="32"/>
          <w:szCs w:val="32"/>
          <w:highlight w:val="white"/>
        </w:rPr>
        <w:t>将确认后的清产核资结果报乡镇农经管理机构</w:t>
      </w:r>
      <w:r>
        <w:rPr>
          <w:rFonts w:hint="eastAsia" w:ascii="仿宋_GB2312" w:hAnsi="仿宋_GB2312" w:eastAsia="仿宋_GB2312" w:cs="仿宋_GB2312"/>
          <w:color w:val="auto"/>
          <w:sz w:val="32"/>
          <w:szCs w:val="32"/>
          <w:highlight w:val="white"/>
          <w:lang w:eastAsia="zh-CN"/>
        </w:rPr>
        <w:t>验收</w:t>
      </w:r>
      <w:r>
        <w:rPr>
          <w:rFonts w:hint="eastAsia" w:ascii="仿宋_GB2312" w:hAnsi="仿宋_GB2312" w:eastAsia="仿宋_GB2312" w:cs="仿宋_GB2312"/>
          <w:b w:val="0"/>
          <w:bCs w:val="0"/>
          <w:color w:val="auto"/>
          <w:sz w:val="32"/>
          <w:szCs w:val="32"/>
          <w:highlight w:val="white"/>
          <w:lang w:eastAsia="zh-CN"/>
        </w:rPr>
        <w:t>、</w:t>
      </w:r>
      <w:r>
        <w:rPr>
          <w:rFonts w:hint="eastAsia" w:ascii="仿宋_GB2312" w:hAnsi="仿宋_GB2312" w:eastAsia="仿宋_GB2312" w:cs="仿宋_GB2312"/>
          <w:color w:val="auto"/>
          <w:sz w:val="32"/>
          <w:szCs w:val="32"/>
          <w:highlight w:val="white"/>
        </w:rPr>
        <w:t>审核、批准。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333333"/>
          <w:sz w:val="32"/>
          <w:szCs w:val="32"/>
          <w:highlight w:val="white"/>
        </w:rPr>
      </w:pPr>
      <w:r>
        <w:rPr>
          <w:rFonts w:hint="eastAsia" w:ascii="黑体" w:hAnsi="黑体" w:eastAsia="黑体" w:cs="黑体"/>
          <w:color w:val="333333"/>
          <w:sz w:val="32"/>
          <w:szCs w:val="32"/>
          <w:highlight w:val="white"/>
          <w:lang w:eastAsia="zh-CN"/>
        </w:rPr>
        <w:t>八、</w:t>
      </w:r>
      <w:r>
        <w:rPr>
          <w:rFonts w:hint="eastAsia" w:ascii="黑体" w:hAnsi="黑体" w:eastAsia="黑体" w:cs="黑体"/>
          <w:color w:val="333333"/>
          <w:sz w:val="32"/>
          <w:szCs w:val="32"/>
          <w:highlight w:val="white"/>
        </w:rPr>
        <w:t>账务调整。</w:t>
      </w:r>
      <w:r>
        <w:rPr>
          <w:rFonts w:hint="eastAsia" w:ascii="仿宋_GB2312" w:hAnsi="仿宋_GB2312" w:eastAsia="仿宋_GB2312" w:cs="仿宋_GB2312"/>
          <w:color w:val="333333"/>
          <w:sz w:val="32"/>
          <w:szCs w:val="32"/>
          <w:highlight w:val="white"/>
          <w:lang w:eastAsia="zh-CN"/>
        </w:rPr>
        <w:t>按照《村集体经济组织会计制度》规定，统一使用会计科目，</w:t>
      </w:r>
      <w:r>
        <w:rPr>
          <w:rFonts w:hint="eastAsia" w:ascii="仿宋_GB2312" w:hAnsi="仿宋_GB2312" w:eastAsia="仿宋_GB2312" w:cs="仿宋_GB2312"/>
          <w:color w:val="333333"/>
          <w:sz w:val="32"/>
          <w:szCs w:val="32"/>
          <w:highlight w:val="white"/>
          <w:lang w:val="en-US" w:eastAsia="zh-CN"/>
        </w:rPr>
        <w:t>规范填报2017年底</w:t>
      </w:r>
      <w:r>
        <w:rPr>
          <w:rFonts w:hint="eastAsia" w:ascii="仿宋_GB2312" w:hAnsi="仿宋_GB2312" w:eastAsia="仿宋_GB2312" w:cs="仿宋_GB2312"/>
          <w:color w:val="333333"/>
          <w:sz w:val="32"/>
          <w:szCs w:val="32"/>
          <w:highlight w:val="white"/>
          <w:lang w:eastAsia="zh-CN"/>
        </w:rPr>
        <w:t>资产负债表，完善票据凭证。农村集体</w:t>
      </w:r>
      <w:r>
        <w:rPr>
          <w:rFonts w:hint="eastAsia" w:ascii="仿宋_GB2312" w:hAnsi="仿宋_GB2312" w:eastAsia="仿宋_GB2312" w:cs="仿宋_GB2312"/>
          <w:color w:val="333333"/>
          <w:sz w:val="32"/>
          <w:szCs w:val="32"/>
          <w:highlight w:val="white"/>
        </w:rPr>
        <w:t>经济组织根据乡镇审核批准的清产核资结果</w:t>
      </w:r>
      <w:r>
        <w:rPr>
          <w:rFonts w:hint="eastAsia" w:ascii="仿宋_GB2312" w:hAnsi="仿宋_GB2312" w:eastAsia="仿宋_GB2312" w:cs="仿宋_GB2312"/>
          <w:color w:val="333333"/>
          <w:sz w:val="32"/>
          <w:szCs w:val="32"/>
          <w:highlight w:val="white"/>
          <w:lang w:eastAsia="zh-CN"/>
        </w:rPr>
        <w:t>和涉农部门经管移交的资产</w:t>
      </w:r>
      <w:r>
        <w:rPr>
          <w:rFonts w:hint="eastAsia" w:ascii="仿宋_GB2312" w:hAnsi="仿宋_GB2312" w:eastAsia="仿宋_GB2312" w:cs="仿宋_GB2312"/>
          <w:color w:val="333333"/>
          <w:sz w:val="32"/>
          <w:szCs w:val="32"/>
          <w:highlight w:val="white"/>
        </w:rPr>
        <w:t>，调整盘盈、盘亏、报废、毁损的资产和核销债权债务相关账务，完善相关清查登记表。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333333"/>
          <w:sz w:val="32"/>
          <w:szCs w:val="32"/>
          <w:highlight w:val="white"/>
          <w:lang w:val="en-US" w:eastAsia="zh-CN"/>
        </w:rPr>
      </w:pPr>
      <w:r>
        <w:rPr>
          <w:rFonts w:hint="eastAsia" w:ascii="黑体" w:hAnsi="黑体" w:eastAsia="黑体" w:cs="黑体"/>
          <w:color w:val="333333"/>
          <w:sz w:val="32"/>
          <w:szCs w:val="32"/>
          <w:highlight w:val="white"/>
          <w:lang w:eastAsia="zh-CN"/>
        </w:rPr>
        <w:t>九、</w:t>
      </w:r>
      <w:r>
        <w:rPr>
          <w:rFonts w:hint="eastAsia" w:ascii="黑体" w:hAnsi="黑体" w:eastAsia="黑体" w:cs="黑体"/>
          <w:color w:val="333333"/>
          <w:sz w:val="32"/>
          <w:szCs w:val="32"/>
          <w:highlight w:val="white"/>
        </w:rPr>
        <w:t>建立台账。</w:t>
      </w:r>
      <w:r>
        <w:rPr>
          <w:rFonts w:hint="eastAsia" w:ascii="仿宋_GB2312" w:hAnsi="仿宋_GB2312" w:eastAsia="仿宋_GB2312" w:cs="仿宋_GB2312"/>
          <w:color w:val="333333"/>
          <w:sz w:val="32"/>
          <w:szCs w:val="32"/>
          <w:highlight w:val="white"/>
        </w:rPr>
        <w:t>在健全完善农村集体财务会计核算制度的基础上，</w:t>
      </w:r>
      <w:r>
        <w:rPr>
          <w:rFonts w:hint="eastAsia" w:ascii="仿宋_GB2312" w:hAnsi="仿宋_GB2312" w:eastAsia="仿宋_GB2312" w:cs="仿宋_GB2312"/>
          <w:color w:val="333333"/>
          <w:sz w:val="32"/>
          <w:szCs w:val="32"/>
          <w:highlight w:val="white"/>
          <w:lang w:val="en-US" w:eastAsia="zh-CN"/>
        </w:rPr>
        <w:t>建立完善《农村集体资产资源台账》《农村集体资产固定资产卡片》</w:t>
      </w:r>
      <w:r>
        <w:rPr>
          <w:rFonts w:hint="eastAsia" w:ascii="仿宋_GB2312" w:hAnsi="仿宋_GB2312" w:eastAsia="仿宋_GB2312" w:cs="仿宋_GB2312"/>
          <w:color w:val="333333"/>
          <w:sz w:val="32"/>
          <w:szCs w:val="32"/>
          <w:highlight w:val="white"/>
          <w:lang w:eastAsia="zh-CN"/>
        </w:rPr>
        <w:t>《村集体经济组织承包合同台账》</w:t>
      </w:r>
      <w:r>
        <w:rPr>
          <w:rFonts w:hint="eastAsia" w:ascii="仿宋_GB2312" w:hAnsi="仿宋_GB2312" w:eastAsia="仿宋_GB2312" w:cs="仿宋_GB2312"/>
          <w:b w:val="0"/>
          <w:bCs w:val="0"/>
          <w:color w:val="333333"/>
          <w:sz w:val="32"/>
          <w:szCs w:val="32"/>
          <w:highlight w:val="white"/>
          <w:lang w:eastAsia="zh-CN"/>
        </w:rPr>
        <w:t>（清理合同复印件附后），</w:t>
      </w:r>
      <w:r>
        <w:rPr>
          <w:rFonts w:hint="eastAsia" w:ascii="仿宋_GB2312" w:hAnsi="仿宋_GB2312" w:eastAsia="仿宋_GB2312" w:cs="仿宋_GB2312"/>
          <w:color w:val="333333"/>
          <w:sz w:val="32"/>
          <w:szCs w:val="32"/>
          <w:highlight w:val="white"/>
          <w:lang w:eastAsia="zh-CN"/>
        </w:rPr>
        <w:t>制作《村集体资源性资产状况分布图》</w:t>
      </w:r>
      <w:r>
        <w:rPr>
          <w:rFonts w:hint="eastAsia" w:ascii="仿宋_GB2312" w:hAnsi="仿宋_GB2312" w:eastAsia="仿宋_GB2312" w:cs="仿宋_GB2312"/>
          <w:b/>
          <w:bCs/>
          <w:color w:val="333333"/>
          <w:sz w:val="32"/>
          <w:szCs w:val="32"/>
          <w:highlight w:val="white"/>
          <w:lang w:eastAsia="zh-CN"/>
        </w:rPr>
        <w:t>，</w:t>
      </w:r>
      <w:r>
        <w:rPr>
          <w:rFonts w:hint="eastAsia" w:ascii="仿宋_GB2312" w:hAnsi="仿宋_GB2312" w:eastAsia="仿宋_GB2312" w:cs="仿宋_GB2312"/>
          <w:color w:val="333333"/>
          <w:sz w:val="32"/>
          <w:szCs w:val="32"/>
          <w:highlight w:val="white"/>
        </w:rPr>
        <w:t>实现集体资产全程化监管。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333333"/>
          <w:sz w:val="32"/>
          <w:szCs w:val="32"/>
          <w:highlight w:val="white"/>
        </w:rPr>
      </w:pPr>
      <w:r>
        <w:rPr>
          <w:rFonts w:hint="eastAsia" w:ascii="黑体" w:hAnsi="黑体" w:eastAsia="黑体" w:cs="黑体"/>
          <w:color w:val="333333"/>
          <w:sz w:val="32"/>
          <w:szCs w:val="32"/>
          <w:highlight w:val="white"/>
          <w:lang w:eastAsia="zh-CN"/>
        </w:rPr>
        <w:t>十、</w:t>
      </w:r>
      <w:r>
        <w:rPr>
          <w:rFonts w:hint="eastAsia" w:ascii="黑体" w:hAnsi="黑体" w:eastAsia="黑体" w:cs="黑体"/>
          <w:color w:val="333333"/>
          <w:sz w:val="32"/>
          <w:szCs w:val="32"/>
          <w:highlight w:val="white"/>
        </w:rPr>
        <w:t>纳入平台。</w:t>
      </w:r>
      <w:r>
        <w:rPr>
          <w:rFonts w:hint="eastAsia" w:ascii="仿宋_GB2312" w:hAnsi="仿宋_GB2312" w:eastAsia="仿宋_GB2312" w:cs="仿宋_GB2312"/>
          <w:color w:val="333333"/>
          <w:sz w:val="32"/>
          <w:szCs w:val="32"/>
          <w:highlight w:val="white"/>
        </w:rPr>
        <w:t>建立健全农村集体“三资”管理信息化平台。乡镇农经管理机构或农村集体经济组织将清产核资结果录入农村集体三资信息化平台，实现三资管理电算化、网络化。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333333"/>
          <w:sz w:val="32"/>
          <w:szCs w:val="32"/>
          <w:highlight w:val="white"/>
        </w:rPr>
      </w:pPr>
      <w:r>
        <w:rPr>
          <w:rFonts w:hint="eastAsia" w:ascii="黑体" w:hAnsi="黑体" w:eastAsia="黑体" w:cs="黑体"/>
          <w:color w:val="333333"/>
          <w:sz w:val="32"/>
          <w:szCs w:val="32"/>
          <w:highlight w:val="white"/>
          <w:lang w:eastAsia="zh-CN"/>
        </w:rPr>
        <w:t>十一</w:t>
      </w:r>
      <w:r>
        <w:rPr>
          <w:rFonts w:hint="eastAsia" w:ascii="黑体" w:hAnsi="黑体" w:eastAsia="黑体" w:cs="黑体"/>
          <w:color w:val="333333"/>
          <w:sz w:val="32"/>
          <w:szCs w:val="32"/>
          <w:highlight w:val="white"/>
        </w:rPr>
        <w:t>汇总上报。</w:t>
      </w:r>
      <w:r>
        <w:rPr>
          <w:rFonts w:hint="eastAsia" w:ascii="仿宋_GB2312" w:hAnsi="仿宋_GB2312" w:eastAsia="仿宋_GB2312" w:cs="仿宋_GB2312"/>
          <w:color w:val="333333"/>
          <w:sz w:val="32"/>
          <w:szCs w:val="32"/>
          <w:highlight w:val="white"/>
        </w:rPr>
        <w:t>农村集体经济组织应按规定时间，将清产核资上报表（资产负债表、资源性资产清查登记总表）及清产核资报告上报乡（镇）农经管理机构。乡（镇）农经管理机构将所属各级农村集体经济组织清产核资汇总</w:t>
      </w:r>
      <w:r>
        <w:rPr>
          <w:rFonts w:hint="eastAsia" w:ascii="仿宋_GB2312" w:hAnsi="仿宋_GB2312" w:eastAsia="仿宋_GB2312" w:cs="仿宋_GB2312"/>
          <w:color w:val="333333"/>
          <w:sz w:val="32"/>
          <w:szCs w:val="32"/>
          <w:highlight w:val="white"/>
          <w:lang w:eastAsia="zh-CN"/>
        </w:rPr>
        <w:t>，以乡镇党委政府名义将《</w:t>
      </w:r>
      <w:r>
        <w:rPr>
          <w:rFonts w:hint="eastAsia" w:ascii="仿宋_GB2312" w:hAnsi="仿宋_GB2312" w:eastAsia="仿宋_GB2312" w:cs="仿宋_GB2312"/>
          <w:color w:val="333333"/>
          <w:sz w:val="32"/>
          <w:szCs w:val="32"/>
          <w:highlight w:val="white"/>
        </w:rPr>
        <w:t>资产负债汇总表</w:t>
      </w:r>
      <w:r>
        <w:rPr>
          <w:rFonts w:hint="eastAsia" w:ascii="仿宋_GB2312" w:hAnsi="仿宋_GB2312" w:eastAsia="仿宋_GB2312" w:cs="仿宋_GB2312"/>
          <w:color w:val="333333"/>
          <w:sz w:val="32"/>
          <w:szCs w:val="32"/>
          <w:highlight w:val="white"/>
          <w:lang w:eastAsia="zh-CN"/>
        </w:rPr>
        <w:t>》</w:t>
      </w:r>
      <w:r>
        <w:rPr>
          <w:rFonts w:hint="eastAsia" w:ascii="仿宋_GB2312" w:hAnsi="仿宋_GB2312" w:eastAsia="仿宋_GB2312" w:cs="仿宋_GB2312"/>
          <w:b w:val="0"/>
          <w:bCs w:val="0"/>
          <w:color w:val="333333"/>
          <w:sz w:val="32"/>
          <w:szCs w:val="32"/>
          <w:highlight w:val="white"/>
          <w:lang w:eastAsia="zh-CN"/>
        </w:rPr>
        <w:t>（农清汇总</w:t>
      </w:r>
      <w:r>
        <w:rPr>
          <w:rFonts w:hint="eastAsia" w:ascii="仿宋_GB2312" w:hAnsi="仿宋_GB2312" w:eastAsia="仿宋_GB2312" w:cs="仿宋_GB2312"/>
          <w:b w:val="0"/>
          <w:bCs w:val="0"/>
          <w:color w:val="333333"/>
          <w:sz w:val="32"/>
          <w:szCs w:val="32"/>
          <w:highlight w:val="white"/>
          <w:lang w:val="en-US" w:eastAsia="zh-CN"/>
        </w:rPr>
        <w:t>01-1、2、3</w:t>
      </w:r>
      <w:r>
        <w:rPr>
          <w:rFonts w:hint="eastAsia" w:ascii="仿宋_GB2312" w:hAnsi="仿宋_GB2312" w:eastAsia="仿宋_GB2312" w:cs="仿宋_GB2312"/>
          <w:b w:val="0"/>
          <w:bCs w:val="0"/>
          <w:color w:val="333333"/>
          <w:sz w:val="32"/>
          <w:szCs w:val="32"/>
          <w:highlight w:val="white"/>
          <w:lang w:eastAsia="zh-CN"/>
        </w:rPr>
        <w:t>）</w:t>
      </w:r>
      <w:r>
        <w:rPr>
          <w:rFonts w:hint="eastAsia" w:ascii="仿宋_GB2312" w:hAnsi="仿宋_GB2312" w:eastAsia="仿宋_GB2312" w:cs="仿宋_GB2312"/>
          <w:b w:val="0"/>
          <w:bCs w:val="0"/>
          <w:color w:val="333333"/>
          <w:sz w:val="32"/>
          <w:szCs w:val="32"/>
          <w:highlight w:val="white"/>
        </w:rPr>
        <w:t>、</w:t>
      </w:r>
      <w:r>
        <w:rPr>
          <w:rFonts w:hint="eastAsia" w:ascii="仿宋_GB2312" w:hAnsi="仿宋_GB2312" w:eastAsia="仿宋_GB2312" w:cs="仿宋_GB2312"/>
          <w:b w:val="0"/>
          <w:bCs w:val="0"/>
          <w:color w:val="333333"/>
          <w:sz w:val="32"/>
          <w:szCs w:val="32"/>
          <w:highlight w:val="white"/>
          <w:lang w:eastAsia="zh-CN"/>
        </w:rPr>
        <w:t>《</w:t>
      </w:r>
      <w:r>
        <w:rPr>
          <w:rFonts w:hint="eastAsia" w:ascii="仿宋_GB2312" w:hAnsi="仿宋_GB2312" w:eastAsia="仿宋_GB2312" w:cs="仿宋_GB2312"/>
          <w:color w:val="333333"/>
          <w:sz w:val="32"/>
          <w:szCs w:val="32"/>
          <w:highlight w:val="white"/>
        </w:rPr>
        <w:t>资源性资产清查登记汇总表</w:t>
      </w:r>
      <w:r>
        <w:rPr>
          <w:rFonts w:hint="eastAsia" w:ascii="仿宋_GB2312" w:hAnsi="仿宋_GB2312" w:eastAsia="仿宋_GB2312" w:cs="仿宋_GB2312"/>
          <w:b w:val="0"/>
          <w:bCs w:val="0"/>
          <w:color w:val="333333"/>
          <w:sz w:val="32"/>
          <w:szCs w:val="32"/>
          <w:highlight w:val="white"/>
          <w:lang w:eastAsia="zh-CN"/>
        </w:rPr>
        <w:t>》（农清汇总</w:t>
      </w:r>
      <w:r>
        <w:rPr>
          <w:rFonts w:hint="eastAsia" w:ascii="仿宋_GB2312" w:hAnsi="仿宋_GB2312" w:eastAsia="仿宋_GB2312" w:cs="仿宋_GB2312"/>
          <w:b w:val="0"/>
          <w:bCs w:val="0"/>
          <w:color w:val="333333"/>
          <w:sz w:val="32"/>
          <w:szCs w:val="32"/>
          <w:highlight w:val="white"/>
          <w:lang w:val="en-US" w:eastAsia="zh-CN"/>
        </w:rPr>
        <w:t>02</w:t>
      </w:r>
      <w:r>
        <w:rPr>
          <w:rFonts w:hint="eastAsia" w:ascii="仿宋_GB2312" w:hAnsi="仿宋_GB2312" w:eastAsia="仿宋_GB2312" w:cs="仿宋_GB2312"/>
          <w:b w:val="0"/>
          <w:bCs w:val="0"/>
          <w:color w:val="333333"/>
          <w:sz w:val="32"/>
          <w:szCs w:val="32"/>
          <w:highlight w:val="white"/>
          <w:lang w:eastAsia="zh-CN"/>
        </w:rPr>
        <w:t>）将乡镇、村级、组级分别</w:t>
      </w:r>
      <w:r>
        <w:rPr>
          <w:rFonts w:hint="eastAsia" w:ascii="仿宋_GB2312" w:hAnsi="仿宋_GB2312" w:eastAsia="仿宋_GB2312" w:cs="仿宋_GB2312"/>
          <w:color w:val="333333"/>
          <w:sz w:val="32"/>
          <w:szCs w:val="32"/>
          <w:highlight w:val="white"/>
        </w:rPr>
        <w:t>上报</w:t>
      </w:r>
      <w:r>
        <w:rPr>
          <w:rFonts w:hint="eastAsia" w:ascii="仿宋_GB2312" w:hAnsi="仿宋_GB2312" w:eastAsia="仿宋_GB2312" w:cs="仿宋_GB2312"/>
          <w:color w:val="333333"/>
          <w:sz w:val="32"/>
          <w:szCs w:val="32"/>
          <w:highlight w:val="white"/>
          <w:lang w:eastAsia="zh-CN"/>
        </w:rPr>
        <w:t>县农村集体产权制度改革领导小组办公室</w:t>
      </w:r>
      <w:r>
        <w:rPr>
          <w:rFonts w:hint="eastAsia" w:ascii="仿宋_GB2312" w:hAnsi="仿宋_GB2312" w:eastAsia="仿宋_GB2312" w:cs="仿宋_GB2312"/>
          <w:color w:val="333333"/>
          <w:sz w:val="32"/>
          <w:szCs w:val="32"/>
          <w:highlight w:val="whit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333333"/>
          <w:sz w:val="32"/>
          <w:szCs w:val="32"/>
          <w:highlight w:val="white"/>
        </w:rPr>
      </w:pPr>
      <w:r>
        <w:rPr>
          <w:rFonts w:hint="eastAsia" w:ascii="黑体" w:hAnsi="黑体" w:eastAsia="黑体" w:cs="黑体"/>
          <w:color w:val="333333"/>
          <w:sz w:val="32"/>
          <w:szCs w:val="32"/>
          <w:highlight w:val="white"/>
          <w:lang w:eastAsia="zh-CN"/>
        </w:rPr>
        <w:t>十二、</w:t>
      </w:r>
      <w:r>
        <w:rPr>
          <w:rFonts w:hint="eastAsia" w:ascii="黑体" w:hAnsi="黑体" w:eastAsia="黑体" w:cs="黑体"/>
          <w:color w:val="333333"/>
          <w:sz w:val="32"/>
          <w:szCs w:val="32"/>
          <w:highlight w:val="white"/>
        </w:rPr>
        <w:t>完善制度。</w:t>
      </w:r>
      <w:r>
        <w:rPr>
          <w:rFonts w:hint="eastAsia" w:ascii="仿宋_GB2312" w:hAnsi="仿宋_GB2312" w:eastAsia="仿宋_GB2312" w:cs="仿宋_GB2312"/>
          <w:color w:val="333333"/>
          <w:sz w:val="32"/>
          <w:szCs w:val="32"/>
          <w:highlight w:val="white"/>
        </w:rPr>
        <w:t>对清产核资中发现的问题，提出整改措施和建议</w:t>
      </w:r>
      <w:r>
        <w:rPr>
          <w:rFonts w:hint="eastAsia" w:ascii="仿宋_GB2312" w:hAnsi="仿宋_GB2312" w:eastAsia="仿宋_GB2312" w:cs="仿宋_GB2312"/>
          <w:color w:val="333333"/>
          <w:sz w:val="32"/>
          <w:szCs w:val="32"/>
          <w:highlight w:val="white"/>
          <w:lang w:eastAsia="zh-CN"/>
        </w:rPr>
        <w:t>，加强和规范集体资产财务管理，建立健全资产登记制度、资产保管制度、资产使用制度、资产处置制度、资产清查制度和定期报告制度，保护好资产，盘活好资产，管护好资产，防止集体资产流失，使集体资</w:t>
      </w:r>
      <w:r>
        <w:rPr>
          <w:rFonts w:hint="eastAsia" w:ascii="仿宋_GB2312" w:hAnsi="仿宋" w:eastAsia="仿宋_GB2312"/>
          <w:color w:val="333333"/>
          <w:sz w:val="32"/>
          <w:szCs w:val="32"/>
          <w:highlight w:val="white"/>
        </w:rPr>
        <w:t>产保值增值。</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32"/>
          <w:lang w:eastAsia="zh-CN"/>
        </w:rPr>
      </w:pPr>
      <w:r>
        <w:rPr>
          <w:rFonts w:hint="eastAsia" w:ascii="方正小标宋简体" w:hAnsi="方正小标宋简体" w:eastAsia="方正小标宋简体" w:cs="方正小标宋简体"/>
          <w:sz w:val="44"/>
          <w:szCs w:val="32"/>
          <w:lang w:eastAsia="zh-CN"/>
        </w:rPr>
        <w:t>馆陶县农村集体产权制度改革</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eastAsia="黑体"/>
          <w:sz w:val="44"/>
          <w:szCs w:val="32"/>
        </w:rPr>
      </w:pPr>
      <w:r>
        <w:rPr>
          <w:rFonts w:hint="eastAsia" w:ascii="方正小标宋简体" w:hAnsi="方正小标宋简体" w:eastAsia="方正小标宋简体" w:cs="方正小标宋简体"/>
          <w:sz w:val="44"/>
          <w:szCs w:val="32"/>
          <w:lang w:eastAsia="zh-CN"/>
        </w:rPr>
        <w:t>宣传</w:t>
      </w:r>
      <w:r>
        <w:rPr>
          <w:rFonts w:hint="eastAsia" w:ascii="方正小标宋简体" w:hAnsi="方正小标宋简体" w:eastAsia="方正小标宋简体" w:cs="方正小标宋简体"/>
          <w:sz w:val="44"/>
          <w:szCs w:val="32"/>
        </w:rPr>
        <w:t>标语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1.深化农村集体产权制度改革，保障农民财产权益，壮大集体经济。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开展农村集体资产清产核资，明晰农村集体产权归属。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开展农村集体资产清产核资，维护农村集体经济组织成员权利。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4、清查核实集体资产，摸清集体家底，健全管理制度，防止资产流失。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5、科学确认集体经济组织成员身份，保证</w:t>
      </w:r>
      <w:r>
        <w:rPr>
          <w:rFonts w:hint="eastAsia" w:ascii="仿宋_GB2312" w:hAnsi="仿宋_GB2312" w:eastAsia="仿宋_GB2312" w:cs="仿宋_GB2312"/>
          <w:sz w:val="32"/>
          <w:szCs w:val="32"/>
          <w:lang w:eastAsia="zh-CN"/>
        </w:rPr>
        <w:t>农村集体经济组织成员权利。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推进农村集体产权制度改革，建立农村集体经济运行新机制。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、坚持和完善农村基本制度，壮大农村集体经济，增加农民的财产性收入。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、建立农村集体产权制度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为现代农业发展和社会主义新农村建设奠定坚实的制度基础。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、农村集体产权制度改革坚持政府主导、部门配合、群众参与。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、坚持因地制宜、先行先试、勇于创新、积极稳妥。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坚持公开、公平、公正原则，搞好农村集体经济产权制度改革。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、产权有归属，管理有主体，维护有经费，效益长发挥，农民得实惠。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、深化产权制度改革，广泛尊重民意，赋权释能，盘活存量，激发活力。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、发展农民股份合作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保障集体成员权利</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、深化农村产权制度改革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赋予农民资产股份权能。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、发展农民股份合作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建立现代产权制度</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、开展集体资产产权制度改革，增加农民财产性收入。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、推行农村集体产权制度改革，实现集体资产按股享有。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heme="majorEastAsia" w:hAnsiTheme="majorEastAsia" w:eastAsiaTheme="majorEastAsia" w:cstheme="majorEastAsia"/>
          <w:b/>
          <w:bCs/>
          <w:kern w:val="0"/>
          <w:sz w:val="40"/>
          <w:szCs w:val="40"/>
          <w:lang w:eastAsia="zh-CN"/>
        </w:rPr>
      </w:pPr>
      <w:r>
        <w:rPr>
          <w:rFonts w:hint="eastAsia" w:asciiTheme="majorEastAsia" w:hAnsiTheme="majorEastAsia" w:eastAsiaTheme="majorEastAsia" w:cstheme="majorEastAsia"/>
          <w:b/>
          <w:bCs/>
          <w:kern w:val="0"/>
          <w:sz w:val="40"/>
          <w:szCs w:val="40"/>
          <w:lang w:val="en-US" w:eastAsia="zh-CN"/>
        </w:rPr>
        <w:t>XXX村</w:t>
      </w:r>
      <w:r>
        <w:rPr>
          <w:rFonts w:hint="eastAsia" w:asciiTheme="majorEastAsia" w:hAnsiTheme="majorEastAsia" w:eastAsiaTheme="majorEastAsia" w:cstheme="majorEastAsia"/>
          <w:b/>
          <w:bCs/>
          <w:kern w:val="0"/>
          <w:sz w:val="40"/>
          <w:szCs w:val="40"/>
        </w:rPr>
        <w:t>会议记录</w:t>
      </w:r>
      <w:r>
        <w:rPr>
          <w:rFonts w:hint="eastAsia" w:asciiTheme="majorEastAsia" w:hAnsiTheme="majorEastAsia" w:eastAsiaTheme="majorEastAsia" w:cstheme="majorEastAsia"/>
          <w:b/>
          <w:bCs/>
          <w:kern w:val="0"/>
          <w:sz w:val="40"/>
          <w:szCs w:val="40"/>
          <w:lang w:eastAsia="zh-CN"/>
        </w:rPr>
        <w:t>（样式）</w:t>
      </w:r>
    </w:p>
    <w:p>
      <w:pPr>
        <w:keepNext w:val="0"/>
        <w:keepLines w:val="0"/>
        <w:pageBreakBefore w:val="0"/>
        <w:widowControl w:val="0"/>
        <w:kinsoku/>
        <w:wordWrap/>
        <w:overflowPunct/>
        <w:topLinePunct w:val="0"/>
        <w:autoSpaceDE/>
        <w:autoSpaceDN/>
        <w:bidi w:val="0"/>
        <w:adjustRightInd/>
        <w:snapToGrid/>
        <w:spacing w:line="560" w:lineRule="exact"/>
        <w:ind w:firstLine="2811" w:firstLineChars="700"/>
        <w:jc w:val="left"/>
        <w:textAlignment w:val="auto"/>
        <w:outlineLvl w:val="9"/>
        <w:rPr>
          <w:rFonts w:hint="eastAsia" w:asciiTheme="majorEastAsia" w:hAnsiTheme="majorEastAsia" w:eastAsiaTheme="majorEastAsia" w:cstheme="majorEastAsia"/>
          <w:b/>
          <w:bCs/>
          <w:kern w:val="0"/>
          <w:sz w:val="40"/>
          <w:szCs w:val="40"/>
          <w:lang w:eastAsia="zh-CN"/>
        </w:rPr>
      </w:pPr>
    </w:p>
    <w:tbl>
      <w:tblPr>
        <w:tblStyle w:val="9"/>
        <w:tblW w:w="9360" w:type="dxa"/>
        <w:tblInd w:w="-36" w:type="dxa"/>
        <w:tblLayout w:type="fixed"/>
        <w:tblCellMar>
          <w:top w:w="0" w:type="dxa"/>
          <w:left w:w="108" w:type="dxa"/>
          <w:bottom w:w="0" w:type="dxa"/>
          <w:right w:w="108" w:type="dxa"/>
        </w:tblCellMar>
      </w:tblPr>
      <w:tblGrid>
        <w:gridCol w:w="1680"/>
        <w:gridCol w:w="3324"/>
        <w:gridCol w:w="1620"/>
        <w:gridCol w:w="2736"/>
      </w:tblGrid>
      <w:tr>
        <w:tblPrEx>
          <w:tblLayout w:type="fixed"/>
          <w:tblCellMar>
            <w:top w:w="0" w:type="dxa"/>
            <w:left w:w="108" w:type="dxa"/>
            <w:bottom w:w="0" w:type="dxa"/>
            <w:right w:w="108" w:type="dxa"/>
          </w:tblCellMar>
        </w:tblPrEx>
        <w:trPr>
          <w:trHeight w:val="794" w:hRule="exac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32"/>
                <w:szCs w:val="32"/>
              </w:rPr>
            </w:pPr>
            <w:r>
              <w:rPr>
                <w:rFonts w:hint="eastAsia" w:ascii="宋体" w:hAnsi="宋体" w:cs="宋体"/>
                <w:kern w:val="0"/>
                <w:sz w:val="32"/>
                <w:szCs w:val="32"/>
              </w:rPr>
              <w:t>会议时间</w:t>
            </w:r>
          </w:p>
        </w:tc>
        <w:tc>
          <w:tcPr>
            <w:tcW w:w="332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32"/>
                <w:szCs w:val="32"/>
              </w:rPr>
            </w:pPr>
            <w:r>
              <w:rPr>
                <w:rFonts w:hint="eastAsia" w:ascii="宋体" w:hAnsi="宋体" w:cs="宋体"/>
                <w:kern w:val="0"/>
                <w:sz w:val="32"/>
                <w:szCs w:val="32"/>
              </w:rPr>
              <w:t>　</w:t>
            </w:r>
          </w:p>
        </w:tc>
        <w:tc>
          <w:tcPr>
            <w:tcW w:w="16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32"/>
                <w:szCs w:val="32"/>
              </w:rPr>
            </w:pPr>
            <w:r>
              <w:rPr>
                <w:rFonts w:hint="eastAsia" w:ascii="宋体" w:hAnsi="宋体" w:cs="宋体"/>
                <w:kern w:val="0"/>
                <w:sz w:val="32"/>
                <w:szCs w:val="32"/>
              </w:rPr>
              <w:t>会议地址</w:t>
            </w:r>
          </w:p>
        </w:tc>
        <w:tc>
          <w:tcPr>
            <w:tcW w:w="273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32"/>
                <w:szCs w:val="32"/>
              </w:rPr>
            </w:pPr>
            <w:r>
              <w:rPr>
                <w:rFonts w:hint="eastAsia" w:ascii="宋体" w:hAnsi="宋体" w:cs="宋体"/>
                <w:kern w:val="0"/>
                <w:sz w:val="32"/>
                <w:szCs w:val="32"/>
              </w:rPr>
              <w:t>　</w:t>
            </w:r>
          </w:p>
        </w:tc>
      </w:tr>
      <w:tr>
        <w:tblPrEx>
          <w:tblLayout w:type="fixed"/>
          <w:tblCellMar>
            <w:top w:w="0" w:type="dxa"/>
            <w:left w:w="108" w:type="dxa"/>
            <w:bottom w:w="0" w:type="dxa"/>
            <w:right w:w="108" w:type="dxa"/>
          </w:tblCellMar>
        </w:tblPrEx>
        <w:trPr>
          <w:trHeight w:val="794" w:hRule="exac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32"/>
                <w:szCs w:val="32"/>
              </w:rPr>
            </w:pPr>
            <w:r>
              <w:rPr>
                <w:rFonts w:hint="eastAsia" w:ascii="宋体" w:hAnsi="宋体" w:cs="宋体"/>
                <w:kern w:val="0"/>
                <w:sz w:val="32"/>
                <w:szCs w:val="32"/>
              </w:rPr>
              <w:t>主持人</w:t>
            </w:r>
          </w:p>
        </w:tc>
        <w:tc>
          <w:tcPr>
            <w:tcW w:w="332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32"/>
                <w:szCs w:val="32"/>
              </w:rPr>
            </w:pPr>
            <w:r>
              <w:rPr>
                <w:rFonts w:hint="eastAsia" w:ascii="宋体" w:hAnsi="宋体" w:cs="宋体"/>
                <w:kern w:val="0"/>
                <w:sz w:val="32"/>
                <w:szCs w:val="32"/>
              </w:rPr>
              <w:t>　</w:t>
            </w:r>
          </w:p>
        </w:tc>
        <w:tc>
          <w:tcPr>
            <w:tcW w:w="16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32"/>
                <w:szCs w:val="32"/>
              </w:rPr>
            </w:pPr>
            <w:r>
              <w:rPr>
                <w:rFonts w:hint="eastAsia" w:ascii="宋体" w:hAnsi="宋体" w:cs="宋体"/>
                <w:kern w:val="0"/>
                <w:sz w:val="32"/>
                <w:szCs w:val="32"/>
              </w:rPr>
              <w:t>记录人</w:t>
            </w:r>
          </w:p>
        </w:tc>
        <w:tc>
          <w:tcPr>
            <w:tcW w:w="273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32"/>
                <w:szCs w:val="32"/>
              </w:rPr>
            </w:pPr>
            <w:r>
              <w:rPr>
                <w:rFonts w:hint="eastAsia" w:ascii="宋体" w:hAnsi="宋体" w:cs="宋体"/>
                <w:kern w:val="0"/>
                <w:sz w:val="32"/>
                <w:szCs w:val="32"/>
              </w:rPr>
              <w:t>　</w:t>
            </w:r>
          </w:p>
        </w:tc>
      </w:tr>
      <w:tr>
        <w:tblPrEx>
          <w:tblLayout w:type="fixed"/>
          <w:tblCellMar>
            <w:top w:w="0" w:type="dxa"/>
            <w:left w:w="108" w:type="dxa"/>
            <w:bottom w:w="0" w:type="dxa"/>
            <w:right w:w="108" w:type="dxa"/>
          </w:tblCellMar>
        </w:tblPrEx>
        <w:trPr>
          <w:trHeight w:val="794" w:hRule="exact"/>
        </w:trPr>
        <w:tc>
          <w:tcPr>
            <w:tcW w:w="16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32"/>
                <w:szCs w:val="32"/>
              </w:rPr>
            </w:pPr>
            <w:r>
              <w:rPr>
                <w:rFonts w:hint="eastAsia" w:ascii="宋体" w:hAnsi="宋体" w:cs="宋体"/>
                <w:kern w:val="0"/>
                <w:sz w:val="32"/>
                <w:szCs w:val="32"/>
                <w:lang w:eastAsia="zh-CN"/>
              </w:rPr>
              <w:t>参加</w:t>
            </w:r>
            <w:r>
              <w:rPr>
                <w:rFonts w:hint="eastAsia" w:ascii="宋体" w:hAnsi="宋体" w:cs="宋体"/>
                <w:kern w:val="0"/>
                <w:sz w:val="32"/>
                <w:szCs w:val="32"/>
              </w:rPr>
              <w:t>人员</w:t>
            </w:r>
          </w:p>
        </w:tc>
        <w:tc>
          <w:tcPr>
            <w:tcW w:w="768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32"/>
                <w:szCs w:val="32"/>
              </w:rPr>
            </w:pPr>
            <w:r>
              <w:rPr>
                <w:rFonts w:hint="eastAsia" w:ascii="宋体" w:hAnsi="宋体" w:cs="宋体"/>
                <w:kern w:val="0"/>
                <w:sz w:val="32"/>
                <w:szCs w:val="32"/>
              </w:rPr>
              <w:t>　</w:t>
            </w:r>
          </w:p>
        </w:tc>
      </w:tr>
      <w:tr>
        <w:tblPrEx>
          <w:tblLayout w:type="fixed"/>
          <w:tblCellMar>
            <w:top w:w="0" w:type="dxa"/>
            <w:left w:w="108" w:type="dxa"/>
            <w:bottom w:w="0" w:type="dxa"/>
            <w:right w:w="108" w:type="dxa"/>
          </w:tblCellMar>
        </w:tblPrEx>
        <w:trPr>
          <w:trHeight w:val="794" w:hRule="exact"/>
        </w:trPr>
        <w:tc>
          <w:tcPr>
            <w:tcW w:w="168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32"/>
                <w:szCs w:val="32"/>
              </w:rPr>
            </w:pPr>
          </w:p>
        </w:tc>
        <w:tc>
          <w:tcPr>
            <w:tcW w:w="76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32"/>
                <w:szCs w:val="32"/>
              </w:rPr>
            </w:pPr>
          </w:p>
        </w:tc>
      </w:tr>
      <w:tr>
        <w:tblPrEx>
          <w:tblLayout w:type="fixed"/>
          <w:tblCellMar>
            <w:top w:w="0" w:type="dxa"/>
            <w:left w:w="108" w:type="dxa"/>
            <w:bottom w:w="0" w:type="dxa"/>
            <w:right w:w="108" w:type="dxa"/>
          </w:tblCellMar>
        </w:tblPrEx>
        <w:trPr>
          <w:trHeight w:val="794" w:hRule="exac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32"/>
                <w:szCs w:val="32"/>
              </w:rPr>
            </w:pPr>
            <w:r>
              <w:rPr>
                <w:rFonts w:hint="eastAsia" w:ascii="宋体" w:hAnsi="宋体" w:cs="宋体"/>
                <w:kern w:val="0"/>
                <w:sz w:val="32"/>
                <w:szCs w:val="32"/>
              </w:rPr>
              <w:t>主要议题</w:t>
            </w:r>
          </w:p>
        </w:tc>
        <w:tc>
          <w:tcPr>
            <w:tcW w:w="768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32"/>
                <w:szCs w:val="32"/>
              </w:rPr>
            </w:pPr>
            <w:r>
              <w:rPr>
                <w:rFonts w:hint="eastAsia" w:ascii="宋体" w:hAnsi="宋体" w:cs="宋体"/>
                <w:kern w:val="0"/>
                <w:sz w:val="32"/>
                <w:szCs w:val="32"/>
              </w:rPr>
              <w:t>　</w:t>
            </w:r>
          </w:p>
        </w:tc>
      </w:tr>
      <w:tr>
        <w:tblPrEx>
          <w:tblLayout w:type="fixed"/>
          <w:tblCellMar>
            <w:top w:w="0" w:type="dxa"/>
            <w:left w:w="108" w:type="dxa"/>
            <w:bottom w:w="0" w:type="dxa"/>
            <w:right w:w="108" w:type="dxa"/>
          </w:tblCellMar>
        </w:tblPrEx>
        <w:trPr>
          <w:trHeight w:val="8054" w:hRule="atLeast"/>
        </w:trPr>
        <w:tc>
          <w:tcPr>
            <w:tcW w:w="9360" w:type="dxa"/>
            <w:gridSpan w:val="4"/>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eastAsia="宋体" w:cs="宋体"/>
                <w:kern w:val="0"/>
                <w:sz w:val="32"/>
                <w:szCs w:val="32"/>
                <w:lang w:eastAsia="zh-CN"/>
              </w:rPr>
            </w:pPr>
            <w:r>
              <w:rPr>
                <w:rFonts w:hint="eastAsia" w:ascii="宋体" w:hAnsi="宋体" w:cs="宋体"/>
                <w:kern w:val="0"/>
                <w:sz w:val="32"/>
                <w:szCs w:val="32"/>
              </w:rPr>
              <w:t>会议</w:t>
            </w:r>
            <w:r>
              <w:rPr>
                <w:rFonts w:hint="eastAsia" w:ascii="宋体" w:hAnsi="宋体" w:cs="宋体"/>
                <w:kern w:val="0"/>
                <w:sz w:val="32"/>
                <w:szCs w:val="32"/>
                <w:lang w:eastAsia="zh-CN"/>
              </w:rPr>
              <w:t>内容</w:t>
            </w:r>
          </w:p>
          <w:p>
            <w:pPr>
              <w:widowControl/>
              <w:jc w:val="left"/>
              <w:rPr>
                <w:rFonts w:hint="eastAsia" w:ascii="宋体" w:hAnsi="宋体" w:cs="宋体"/>
                <w:kern w:val="0"/>
                <w:sz w:val="32"/>
                <w:szCs w:val="32"/>
              </w:rPr>
            </w:pPr>
            <w:r>
              <w:rPr>
                <w:rFonts w:hint="eastAsia" w:ascii="宋体" w:hAnsi="宋体" w:cs="宋体"/>
                <w:kern w:val="0"/>
                <w:sz w:val="32"/>
                <w:szCs w:val="32"/>
              </w:rPr>
              <w:t>1.</w:t>
            </w:r>
          </w:p>
          <w:p>
            <w:pPr>
              <w:widowControl/>
              <w:jc w:val="left"/>
              <w:rPr>
                <w:rFonts w:hint="eastAsia" w:ascii="宋体" w:hAnsi="宋体" w:cs="宋体"/>
                <w:kern w:val="0"/>
                <w:sz w:val="32"/>
                <w:szCs w:val="32"/>
              </w:rPr>
            </w:pPr>
          </w:p>
          <w:p>
            <w:pPr>
              <w:widowControl/>
              <w:jc w:val="left"/>
              <w:rPr>
                <w:rFonts w:hint="eastAsia" w:ascii="宋体" w:hAnsi="宋体" w:cs="宋体"/>
                <w:kern w:val="0"/>
                <w:sz w:val="32"/>
                <w:szCs w:val="32"/>
              </w:rPr>
            </w:pPr>
            <w:r>
              <w:rPr>
                <w:rFonts w:hint="eastAsia" w:ascii="宋体" w:hAnsi="宋体" w:cs="宋体"/>
                <w:kern w:val="0"/>
                <w:sz w:val="32"/>
                <w:szCs w:val="32"/>
              </w:rPr>
              <w:t>2.</w:t>
            </w:r>
          </w:p>
          <w:p>
            <w:pPr>
              <w:widowControl/>
              <w:jc w:val="left"/>
              <w:rPr>
                <w:rFonts w:hint="eastAsia" w:ascii="宋体" w:hAnsi="宋体" w:cs="宋体"/>
                <w:kern w:val="0"/>
                <w:sz w:val="32"/>
                <w:szCs w:val="32"/>
              </w:rPr>
            </w:pPr>
          </w:p>
          <w:p>
            <w:pPr>
              <w:widowControl/>
              <w:jc w:val="left"/>
              <w:rPr>
                <w:rFonts w:hint="eastAsia" w:ascii="宋体" w:hAnsi="宋体" w:cs="宋体"/>
                <w:kern w:val="0"/>
                <w:sz w:val="32"/>
                <w:szCs w:val="32"/>
              </w:rPr>
            </w:pPr>
            <w:r>
              <w:rPr>
                <w:rFonts w:hint="eastAsia" w:ascii="宋体" w:hAnsi="宋体" w:cs="宋体"/>
                <w:kern w:val="0"/>
                <w:sz w:val="32"/>
                <w:szCs w:val="32"/>
              </w:rPr>
              <w:t>3.</w:t>
            </w:r>
          </w:p>
          <w:p>
            <w:pPr>
              <w:widowControl/>
              <w:jc w:val="left"/>
              <w:rPr>
                <w:rFonts w:hint="eastAsia" w:ascii="宋体" w:hAnsi="宋体" w:cs="宋体"/>
                <w:kern w:val="0"/>
                <w:sz w:val="32"/>
                <w:szCs w:val="32"/>
              </w:rPr>
            </w:pPr>
          </w:p>
          <w:p>
            <w:pPr>
              <w:widowControl/>
              <w:jc w:val="left"/>
              <w:rPr>
                <w:rFonts w:hint="eastAsia" w:ascii="宋体" w:hAnsi="宋体" w:cs="宋体"/>
                <w:kern w:val="0"/>
                <w:sz w:val="32"/>
                <w:szCs w:val="32"/>
              </w:rPr>
            </w:pPr>
            <w:r>
              <w:rPr>
                <w:rFonts w:hint="eastAsia" w:ascii="宋体" w:hAnsi="宋体" w:cs="宋体"/>
                <w:kern w:val="0"/>
                <w:sz w:val="32"/>
                <w:szCs w:val="32"/>
              </w:rPr>
              <w:t>4.</w:t>
            </w:r>
          </w:p>
          <w:p>
            <w:pPr>
              <w:widowControl/>
              <w:jc w:val="left"/>
              <w:rPr>
                <w:rFonts w:hint="eastAsia" w:ascii="宋体" w:hAnsi="宋体" w:cs="宋体"/>
                <w:kern w:val="0"/>
                <w:sz w:val="32"/>
                <w:szCs w:val="32"/>
              </w:rPr>
            </w:pPr>
          </w:p>
          <w:p>
            <w:pPr>
              <w:widowControl/>
              <w:jc w:val="left"/>
              <w:rPr>
                <w:rFonts w:hint="eastAsia" w:ascii="宋体" w:hAnsi="宋体" w:cs="宋体"/>
                <w:kern w:val="0"/>
                <w:sz w:val="32"/>
                <w:szCs w:val="32"/>
              </w:rPr>
            </w:pPr>
            <w:r>
              <w:rPr>
                <w:rFonts w:hint="eastAsia" w:ascii="宋体" w:hAnsi="宋体" w:cs="宋体"/>
                <w:kern w:val="0"/>
                <w:sz w:val="32"/>
                <w:szCs w:val="32"/>
              </w:rPr>
              <w:t>5.</w:t>
            </w:r>
          </w:p>
        </w:tc>
      </w:tr>
      <w:tr>
        <w:tblPrEx>
          <w:tblLayout w:type="fixed"/>
          <w:tblCellMar>
            <w:top w:w="0" w:type="dxa"/>
            <w:left w:w="108" w:type="dxa"/>
            <w:bottom w:w="0" w:type="dxa"/>
            <w:right w:w="108" w:type="dxa"/>
          </w:tblCellMar>
        </w:tblPrEx>
        <w:trPr>
          <w:trHeight w:val="13359" w:hRule="atLeast"/>
        </w:trPr>
        <w:tc>
          <w:tcPr>
            <w:tcW w:w="9360" w:type="dxa"/>
            <w:gridSpan w:val="4"/>
            <w:tcBorders>
              <w:top w:val="single" w:color="auto" w:sz="4" w:space="0"/>
              <w:left w:val="single" w:color="auto" w:sz="4" w:space="0"/>
              <w:bottom w:val="single" w:color="auto" w:sz="4" w:space="0"/>
              <w:right w:val="single" w:color="auto" w:sz="4" w:space="0"/>
            </w:tcBorders>
            <w:vAlign w:val="center"/>
          </w:tcPr>
          <w:p>
            <w:pPr>
              <w:widowControl/>
              <w:rPr>
                <w:rFonts w:hint="eastAsia" w:ascii="黑体" w:hAnsi="黑体" w:eastAsia="黑体" w:cs="宋体"/>
                <w:kern w:val="0"/>
                <w:sz w:val="32"/>
                <w:szCs w:val="32"/>
              </w:rPr>
            </w:pPr>
            <w:r>
              <w:rPr>
                <w:rFonts w:hint="eastAsia" w:ascii="黑体" w:hAnsi="黑体" w:eastAsia="黑体" w:cs="宋体"/>
                <w:kern w:val="0"/>
                <w:sz w:val="32"/>
                <w:szCs w:val="32"/>
              </w:rPr>
              <w:t>参加会议</w:t>
            </w:r>
            <w:r>
              <w:rPr>
                <w:rFonts w:hint="eastAsia" w:ascii="黑体" w:hAnsi="黑体" w:eastAsia="黑体" w:cs="宋体"/>
                <w:kern w:val="0"/>
                <w:sz w:val="32"/>
                <w:szCs w:val="32"/>
                <w:lang w:eastAsia="zh-CN"/>
              </w:rPr>
              <w:t>人员</w:t>
            </w:r>
            <w:r>
              <w:rPr>
                <w:rFonts w:hint="eastAsia" w:ascii="黑体" w:hAnsi="黑体" w:eastAsia="黑体" w:cs="宋体"/>
                <w:kern w:val="0"/>
                <w:sz w:val="32"/>
                <w:szCs w:val="32"/>
              </w:rPr>
              <w:t>签字（盖章）：</w:t>
            </w:r>
          </w:p>
          <w:p>
            <w:pPr>
              <w:widowControl/>
              <w:rPr>
                <w:rFonts w:hint="eastAsia" w:ascii="黑体" w:hAnsi="黑体" w:eastAsia="黑体" w:cs="宋体"/>
                <w:kern w:val="0"/>
                <w:sz w:val="30"/>
                <w:szCs w:val="30"/>
              </w:rPr>
            </w:pPr>
          </w:p>
          <w:p>
            <w:pPr>
              <w:widowControl/>
              <w:rPr>
                <w:rFonts w:hint="eastAsia" w:ascii="黑体" w:hAnsi="黑体" w:eastAsia="黑体" w:cs="宋体"/>
                <w:kern w:val="0"/>
                <w:sz w:val="30"/>
                <w:szCs w:val="30"/>
              </w:rPr>
            </w:pPr>
          </w:p>
          <w:p>
            <w:pPr>
              <w:widowControl/>
              <w:rPr>
                <w:rFonts w:hint="eastAsia" w:ascii="黑体" w:hAnsi="黑体" w:eastAsia="黑体" w:cs="宋体"/>
                <w:kern w:val="0"/>
                <w:sz w:val="30"/>
                <w:szCs w:val="30"/>
              </w:rPr>
            </w:pPr>
          </w:p>
          <w:p>
            <w:pPr>
              <w:widowControl/>
              <w:rPr>
                <w:rFonts w:hint="eastAsia" w:ascii="黑体" w:hAnsi="黑体" w:eastAsia="黑体" w:cs="宋体"/>
                <w:kern w:val="0"/>
                <w:sz w:val="30"/>
                <w:szCs w:val="30"/>
              </w:rPr>
            </w:pPr>
          </w:p>
          <w:p>
            <w:pPr>
              <w:widowControl/>
              <w:rPr>
                <w:rFonts w:hint="eastAsia" w:ascii="黑体" w:hAnsi="黑体" w:eastAsia="黑体" w:cs="宋体"/>
                <w:kern w:val="0"/>
                <w:sz w:val="30"/>
                <w:szCs w:val="30"/>
              </w:rPr>
            </w:pPr>
          </w:p>
          <w:p>
            <w:pPr>
              <w:widowControl/>
              <w:rPr>
                <w:rFonts w:hint="eastAsia" w:ascii="黑体" w:hAnsi="黑体" w:eastAsia="黑体" w:cs="宋体"/>
                <w:kern w:val="0"/>
                <w:sz w:val="30"/>
                <w:szCs w:val="30"/>
              </w:rPr>
            </w:pPr>
          </w:p>
          <w:p>
            <w:pPr>
              <w:widowControl/>
              <w:rPr>
                <w:rFonts w:hint="eastAsia" w:ascii="黑体" w:hAnsi="黑体" w:eastAsia="黑体" w:cs="宋体"/>
                <w:kern w:val="0"/>
                <w:sz w:val="30"/>
                <w:szCs w:val="30"/>
              </w:rPr>
            </w:pPr>
          </w:p>
          <w:p>
            <w:pPr>
              <w:widowControl/>
              <w:rPr>
                <w:rFonts w:hint="eastAsia" w:ascii="黑体" w:hAnsi="黑体" w:eastAsia="黑体" w:cs="宋体"/>
                <w:kern w:val="0"/>
                <w:sz w:val="30"/>
                <w:szCs w:val="30"/>
              </w:rPr>
            </w:pPr>
          </w:p>
          <w:p>
            <w:pPr>
              <w:widowControl/>
              <w:rPr>
                <w:rFonts w:hint="eastAsia" w:ascii="黑体" w:hAnsi="黑体" w:eastAsia="黑体" w:cs="宋体"/>
                <w:kern w:val="0"/>
                <w:sz w:val="30"/>
                <w:szCs w:val="30"/>
              </w:rPr>
            </w:pPr>
          </w:p>
          <w:p>
            <w:pPr>
              <w:widowControl/>
              <w:rPr>
                <w:rFonts w:hint="eastAsia" w:ascii="黑体" w:hAnsi="黑体" w:eastAsia="黑体" w:cs="宋体"/>
                <w:kern w:val="0"/>
                <w:sz w:val="30"/>
                <w:szCs w:val="30"/>
              </w:rPr>
            </w:pPr>
          </w:p>
          <w:p>
            <w:pPr>
              <w:widowControl/>
              <w:rPr>
                <w:rFonts w:hint="eastAsia" w:ascii="黑体" w:hAnsi="黑体" w:eastAsia="黑体" w:cs="宋体"/>
                <w:kern w:val="0"/>
                <w:sz w:val="30"/>
                <w:szCs w:val="30"/>
              </w:rPr>
            </w:pPr>
          </w:p>
          <w:p>
            <w:pPr>
              <w:widowControl/>
              <w:rPr>
                <w:rFonts w:hint="eastAsia" w:ascii="黑体" w:hAnsi="黑体" w:eastAsia="黑体" w:cs="宋体"/>
                <w:kern w:val="0"/>
                <w:sz w:val="30"/>
                <w:szCs w:val="30"/>
              </w:rPr>
            </w:pPr>
          </w:p>
          <w:p>
            <w:pPr>
              <w:widowControl/>
              <w:rPr>
                <w:rFonts w:hint="eastAsia" w:ascii="黑体" w:hAnsi="黑体" w:eastAsia="黑体" w:cs="宋体"/>
                <w:kern w:val="0"/>
                <w:sz w:val="30"/>
                <w:szCs w:val="30"/>
              </w:rPr>
            </w:pPr>
          </w:p>
          <w:p>
            <w:pPr>
              <w:widowControl/>
              <w:rPr>
                <w:rFonts w:hint="eastAsia" w:ascii="黑体" w:hAnsi="黑体" w:eastAsia="黑体" w:cs="宋体"/>
                <w:kern w:val="0"/>
                <w:sz w:val="30"/>
                <w:szCs w:val="30"/>
              </w:rPr>
            </w:pPr>
          </w:p>
          <w:p>
            <w:pPr>
              <w:widowControl/>
              <w:rPr>
                <w:rFonts w:hint="eastAsia" w:ascii="黑体" w:hAnsi="黑体" w:eastAsia="黑体" w:cs="宋体"/>
                <w:kern w:val="0"/>
                <w:sz w:val="30"/>
                <w:szCs w:val="30"/>
              </w:rPr>
            </w:pPr>
          </w:p>
          <w:p>
            <w:pPr>
              <w:widowControl/>
              <w:rPr>
                <w:rFonts w:hint="eastAsia" w:ascii="黑体" w:hAnsi="黑体" w:eastAsia="黑体" w:cs="宋体"/>
                <w:kern w:val="0"/>
                <w:sz w:val="30"/>
                <w:szCs w:val="30"/>
              </w:rPr>
            </w:pPr>
          </w:p>
          <w:p>
            <w:pPr>
              <w:widowControl/>
              <w:rPr>
                <w:rFonts w:hint="eastAsia" w:ascii="黑体" w:hAnsi="黑体" w:eastAsia="黑体" w:cs="宋体"/>
                <w:kern w:val="0"/>
                <w:sz w:val="30"/>
                <w:szCs w:val="30"/>
              </w:rPr>
            </w:pPr>
          </w:p>
          <w:p>
            <w:pPr>
              <w:widowControl/>
              <w:rPr>
                <w:rFonts w:hint="eastAsia" w:ascii="黑体" w:hAnsi="黑体" w:eastAsia="黑体" w:cs="宋体"/>
                <w:kern w:val="0"/>
                <w:sz w:val="30"/>
                <w:szCs w:val="30"/>
              </w:rPr>
            </w:pPr>
          </w:p>
          <w:p>
            <w:pPr>
              <w:widowControl/>
              <w:rPr>
                <w:rFonts w:hint="eastAsia" w:ascii="黑体" w:hAnsi="黑体" w:eastAsia="黑体" w:cs="宋体"/>
                <w:kern w:val="0"/>
                <w:sz w:val="30"/>
                <w:szCs w:val="30"/>
              </w:rPr>
            </w:pPr>
          </w:p>
          <w:p>
            <w:pPr>
              <w:widowControl/>
              <w:rPr>
                <w:rFonts w:hint="eastAsia" w:ascii="黑体" w:hAnsi="黑体" w:eastAsia="黑体" w:cs="宋体"/>
                <w:kern w:val="0"/>
                <w:sz w:val="30"/>
                <w:szCs w:val="30"/>
              </w:rPr>
            </w:pPr>
          </w:p>
        </w:tc>
      </w:tr>
    </w:tbl>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val="en-US" w:eastAsia="zh-CN"/>
        </w:rPr>
        <w:t>XXX乡镇</w:t>
      </w:r>
      <w:r>
        <w:rPr>
          <w:rFonts w:hint="eastAsia" w:asciiTheme="majorEastAsia" w:hAnsiTheme="majorEastAsia" w:eastAsiaTheme="majorEastAsia" w:cstheme="majorEastAsia"/>
          <w:b/>
          <w:bCs/>
          <w:sz w:val="44"/>
          <w:szCs w:val="44"/>
        </w:rPr>
        <w:t>农村</w:t>
      </w:r>
      <w:r>
        <w:rPr>
          <w:rFonts w:hint="eastAsia" w:asciiTheme="majorEastAsia" w:hAnsiTheme="majorEastAsia" w:eastAsiaTheme="majorEastAsia" w:cstheme="majorEastAsia"/>
          <w:b/>
          <w:bCs/>
          <w:sz w:val="44"/>
          <w:szCs w:val="44"/>
          <w:lang w:eastAsia="zh-CN"/>
        </w:rPr>
        <w:t>集体资产清产核资</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rPr>
        <w:t>培训</w:t>
      </w:r>
      <w:r>
        <w:rPr>
          <w:rFonts w:hint="eastAsia" w:asciiTheme="majorEastAsia" w:hAnsiTheme="majorEastAsia" w:eastAsiaTheme="majorEastAsia" w:cstheme="majorEastAsia"/>
          <w:b/>
          <w:bCs/>
          <w:sz w:val="44"/>
          <w:szCs w:val="44"/>
          <w:lang w:eastAsia="zh-CN"/>
        </w:rPr>
        <w:t>方案（样式）</w:t>
      </w:r>
    </w:p>
    <w:p>
      <w:pPr>
        <w:rPr>
          <w:rFonts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Times New Roman"/>
          <w:sz w:val="32"/>
          <w:szCs w:val="32"/>
          <w:lang w:val="en-US" w:eastAsia="zh-CN"/>
        </w:rPr>
      </w:pPr>
      <w:r>
        <w:rPr>
          <w:rFonts w:hint="eastAsia" w:ascii="黑体" w:hAnsi="黑体" w:eastAsia="黑体" w:cs="黑体"/>
          <w:sz w:val="32"/>
          <w:szCs w:val="32"/>
        </w:rPr>
        <w:t>一、培训时间：</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Times New Roman"/>
          <w:sz w:val="32"/>
          <w:szCs w:val="32"/>
        </w:rPr>
      </w:pPr>
      <w:r>
        <w:rPr>
          <w:rFonts w:hint="eastAsia" w:ascii="黑体" w:hAnsi="黑体" w:eastAsia="黑体" w:cs="黑体"/>
          <w:sz w:val="32"/>
          <w:szCs w:val="32"/>
        </w:rPr>
        <w:t>二、培训地点：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议室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Times New Roman"/>
          <w:sz w:val="32"/>
          <w:szCs w:val="32"/>
        </w:rPr>
      </w:pPr>
      <w:r>
        <w:rPr>
          <w:rFonts w:hint="eastAsia" w:ascii="黑体" w:hAnsi="黑体" w:eastAsia="黑体" w:cs="黑体"/>
          <w:sz w:val="32"/>
          <w:szCs w:val="32"/>
        </w:rPr>
        <w:t>三、培训对象：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乡镇</w:t>
      </w:r>
      <w:r>
        <w:rPr>
          <w:rFonts w:hint="eastAsia" w:ascii="仿宋_GB2312" w:hAnsi="仿宋_GB2312" w:eastAsia="仿宋_GB2312" w:cs="仿宋_GB2312"/>
          <w:sz w:val="32"/>
          <w:szCs w:val="32"/>
          <w:lang w:eastAsia="zh-CN"/>
        </w:rPr>
        <w:t>农改办成员、机关干部、</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支书、</w:t>
      </w:r>
      <w:r>
        <w:rPr>
          <w:rFonts w:hint="eastAsia" w:ascii="仿宋_GB2312" w:hAnsi="仿宋_GB2312" w:eastAsia="仿宋_GB2312" w:cs="仿宋_GB2312"/>
          <w:sz w:val="32"/>
          <w:szCs w:val="32"/>
        </w:rPr>
        <w:t>会计，</w:t>
      </w:r>
      <w:r>
        <w:rPr>
          <w:rFonts w:hint="eastAsia" w:ascii="仿宋_GB2312" w:hAnsi="仿宋_GB2312" w:eastAsia="仿宋_GB2312" w:cs="仿宋_GB2312"/>
          <w:sz w:val="32"/>
          <w:szCs w:val="32"/>
          <w:lang w:eastAsia="zh-CN"/>
        </w:rPr>
        <w:t>共计</w:t>
      </w:r>
      <w:r>
        <w:rPr>
          <w:rFonts w:hint="eastAsia" w:ascii="仿宋_GB2312" w:hAnsi="仿宋_GB2312" w:eastAsia="仿宋_GB2312" w:cs="仿宋_GB2312"/>
          <w:sz w:val="32"/>
          <w:szCs w:val="32"/>
          <w:lang w:val="en-US" w:eastAsia="zh-CN"/>
        </w:rPr>
        <w:t xml:space="preserve">   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Times New Roman"/>
          <w:sz w:val="32"/>
          <w:szCs w:val="32"/>
        </w:rPr>
      </w:pPr>
      <w:r>
        <w:rPr>
          <w:rFonts w:hint="eastAsia" w:ascii="黑体" w:hAnsi="黑体" w:eastAsia="黑体" w:cs="黑体"/>
          <w:sz w:val="32"/>
          <w:szCs w:val="32"/>
        </w:rPr>
        <w:t>四、培训内容：</w:t>
      </w:r>
      <w:r>
        <w:rPr>
          <w:rFonts w:hint="eastAsia" w:ascii="仿宋_GB2312" w:hAnsi="仿宋_GB2312" w:eastAsia="仿宋_GB2312" w:cs="仿宋_GB2312"/>
          <w:sz w:val="32"/>
          <w:szCs w:val="32"/>
        </w:rPr>
        <w:t>农村集体产权制度改革、</w:t>
      </w:r>
      <w:r>
        <w:rPr>
          <w:rFonts w:hint="eastAsia" w:ascii="仿宋_GB2312" w:hAnsi="仿宋_GB2312" w:eastAsia="仿宋_GB2312" w:cs="仿宋_GB2312"/>
          <w:sz w:val="32"/>
          <w:szCs w:val="32"/>
          <w:lang w:eastAsia="zh-CN"/>
        </w:rPr>
        <w:t>农村集体资产清产核资</w:t>
      </w:r>
      <w:r>
        <w:rPr>
          <w:rFonts w:hint="eastAsia" w:ascii="仿宋_GB2312" w:hAnsi="仿宋_GB2312" w:eastAsia="仿宋_GB2312" w:cs="仿宋_GB2312"/>
          <w:sz w:val="32"/>
          <w:szCs w:val="32"/>
        </w:rPr>
        <w:t>、农村集体三资管理培训</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Times New Roman"/>
          <w:sz w:val="32"/>
          <w:szCs w:val="32"/>
        </w:rPr>
      </w:pPr>
      <w:r>
        <w:rPr>
          <w:rFonts w:hint="eastAsia" w:ascii="黑体" w:hAnsi="黑体" w:eastAsia="黑体" w:cs="黑体"/>
          <w:sz w:val="32"/>
          <w:szCs w:val="32"/>
        </w:rPr>
        <w:t>五、培训议程：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培训会由</w:t>
      </w:r>
      <w:r>
        <w:rPr>
          <w:rFonts w:hint="eastAsia" w:ascii="仿宋_GB2312" w:hAnsi="仿宋_GB2312" w:eastAsia="仿宋_GB2312" w:cs="仿宋_GB2312"/>
          <w:sz w:val="32"/>
          <w:szCs w:val="32"/>
          <w:lang w:val="en-US" w:eastAsia="zh-CN"/>
        </w:rPr>
        <w:t xml:space="preserve">     主持，议程有  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Times New Roman"/>
          <w:sz w:val="32"/>
          <w:szCs w:val="32"/>
        </w:rPr>
      </w:pPr>
      <w:r>
        <w:rPr>
          <w:rFonts w:hint="eastAsia" w:ascii="仿宋_GB2312" w:hAnsi="仿宋_GB2312" w:eastAsia="仿宋_GB2312" w:cs="仿宋_GB2312"/>
          <w:sz w:val="32"/>
          <w:szCs w:val="32"/>
          <w:lang w:val="en-US" w:eastAsia="zh-CN"/>
        </w:rPr>
        <w:t>1、   同志进行</w:t>
      </w:r>
      <w:r>
        <w:rPr>
          <w:rFonts w:hint="eastAsia" w:ascii="仿宋_GB2312" w:hAnsi="仿宋_GB2312" w:eastAsia="仿宋_GB2312" w:cs="仿宋_GB2312"/>
          <w:sz w:val="32"/>
          <w:szCs w:val="32"/>
        </w:rPr>
        <w:t>开班</w:t>
      </w:r>
      <w:r>
        <w:rPr>
          <w:rFonts w:hint="eastAsia" w:ascii="仿宋_GB2312" w:hAnsi="仿宋_GB2312" w:eastAsia="仿宋_GB2312" w:cs="仿宋_GB2312"/>
          <w:sz w:val="32"/>
          <w:szCs w:val="32"/>
          <w:lang w:eastAsia="zh-CN"/>
        </w:rPr>
        <w:t>讲话。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六、有关</w:t>
      </w:r>
      <w:r>
        <w:rPr>
          <w:rFonts w:hint="eastAsia" w:ascii="黑体" w:hAnsi="黑体" w:eastAsia="黑体" w:cs="黑体"/>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参训人员</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 xml:space="preserve"> 月 日 点前</w:t>
      </w:r>
      <w:r>
        <w:rPr>
          <w:rFonts w:hint="eastAsia" w:ascii="仿宋_GB2312" w:hAnsi="仿宋_GB2312" w:eastAsia="仿宋_GB2312" w:cs="仿宋_GB2312"/>
          <w:sz w:val="32"/>
          <w:szCs w:val="32"/>
        </w:rPr>
        <w:t>统一报到、</w:t>
      </w:r>
      <w:r>
        <w:rPr>
          <w:rFonts w:hint="eastAsia" w:ascii="仿宋_GB2312" w:hAnsi="仿宋_GB2312" w:eastAsia="仿宋_GB2312" w:cs="仿宋_GB2312"/>
          <w:sz w:val="32"/>
          <w:szCs w:val="32"/>
          <w:lang w:eastAsia="zh-CN"/>
        </w:rPr>
        <w:t>领取</w:t>
      </w:r>
      <w:r>
        <w:rPr>
          <w:rFonts w:hint="eastAsia" w:ascii="仿宋_GB2312" w:hAnsi="仿宋_GB2312" w:eastAsia="仿宋_GB2312" w:cs="仿宋_GB2312"/>
          <w:sz w:val="32"/>
          <w:szCs w:val="32"/>
        </w:rPr>
        <w:t>学习资料。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2、参训人员遵守会场纪律，把手机关机或调成静音状态。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pPr>
    </w:p>
    <w:p>
      <w:pPr>
        <w:spacing w:line="440" w:lineRule="atLeast"/>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eastAsia="zh-CN"/>
        </w:rPr>
        <w:t>馆陶县</w:t>
      </w:r>
      <w:r>
        <w:rPr>
          <w:rFonts w:hint="eastAsia" w:asciiTheme="majorEastAsia" w:hAnsiTheme="majorEastAsia" w:eastAsiaTheme="majorEastAsia" w:cstheme="majorEastAsia"/>
          <w:b/>
          <w:bCs/>
          <w:sz w:val="44"/>
          <w:szCs w:val="44"/>
        </w:rPr>
        <w:t>农村集体经济组织</w:t>
      </w:r>
      <w:r>
        <w:rPr>
          <w:rFonts w:hint="eastAsia" w:asciiTheme="majorEastAsia" w:hAnsiTheme="majorEastAsia" w:eastAsiaTheme="majorEastAsia" w:cstheme="majorEastAsia"/>
          <w:b/>
          <w:bCs/>
          <w:sz w:val="44"/>
          <w:szCs w:val="44"/>
          <w:lang w:val="en-US" w:eastAsia="zh-CN"/>
        </w:rPr>
        <w:t>债权（</w:t>
      </w:r>
      <w:r>
        <w:rPr>
          <w:rFonts w:hint="eastAsia" w:asciiTheme="majorEastAsia" w:hAnsiTheme="majorEastAsia" w:eastAsiaTheme="majorEastAsia" w:cstheme="majorEastAsia"/>
          <w:b/>
          <w:bCs/>
          <w:sz w:val="44"/>
          <w:szCs w:val="44"/>
        </w:rPr>
        <w:t>债</w:t>
      </w:r>
      <w:r>
        <w:rPr>
          <w:rFonts w:hint="eastAsia" w:asciiTheme="majorEastAsia" w:hAnsiTheme="majorEastAsia" w:eastAsiaTheme="majorEastAsia" w:cstheme="majorEastAsia"/>
          <w:b/>
          <w:bCs/>
          <w:sz w:val="44"/>
          <w:szCs w:val="44"/>
          <w:lang w:eastAsia="zh-CN"/>
        </w:rPr>
        <w:t>务</w:t>
      </w:r>
      <w:r>
        <w:rPr>
          <w:rFonts w:hint="eastAsia" w:asciiTheme="majorEastAsia" w:hAnsiTheme="majorEastAsia" w:eastAsiaTheme="majorEastAsia" w:cstheme="majorEastAsia"/>
          <w:b/>
          <w:bCs/>
          <w:sz w:val="44"/>
          <w:szCs w:val="44"/>
          <w:lang w:val="en-US" w:eastAsia="zh-CN"/>
        </w:rPr>
        <w:t>）</w:t>
      </w:r>
    </w:p>
    <w:p>
      <w:pPr>
        <w:spacing w:line="440" w:lineRule="atLeast"/>
        <w:jc w:val="center"/>
        <w:rPr>
          <w:rFonts w:hint="eastAsia" w:ascii="黑体" w:hAnsi="黑体" w:eastAsia="黑体" w:cs="黑体"/>
          <w:sz w:val="44"/>
          <w:szCs w:val="44"/>
        </w:rPr>
      </w:pPr>
      <w:r>
        <w:rPr>
          <w:rFonts w:hint="eastAsia" w:asciiTheme="majorEastAsia" w:hAnsiTheme="majorEastAsia" w:eastAsiaTheme="majorEastAsia" w:cstheme="majorEastAsia"/>
          <w:b/>
          <w:bCs/>
          <w:sz w:val="44"/>
          <w:szCs w:val="44"/>
        </w:rPr>
        <w:t>核实确认书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sz w:val="24"/>
          <w:szCs w:val="24"/>
        </w:rPr>
      </w:pPr>
      <w:r>
        <w:rPr>
          <w:rFonts w:hint="eastAsia"/>
          <w:sz w:val="24"/>
          <w:szCs w:val="24"/>
        </w:rPr>
        <w:t>债</w:t>
      </w:r>
      <w:r>
        <w:rPr>
          <w:rFonts w:hint="eastAsia"/>
          <w:sz w:val="24"/>
          <w:szCs w:val="24"/>
          <w:lang w:val="en-US" w:eastAsia="zh-CN"/>
        </w:rPr>
        <w:t xml:space="preserve"> </w:t>
      </w:r>
      <w:r>
        <w:rPr>
          <w:rFonts w:hint="eastAsia"/>
          <w:sz w:val="24"/>
          <w:szCs w:val="24"/>
          <w:lang w:eastAsia="zh-CN"/>
        </w:rPr>
        <w:t>务</w:t>
      </w:r>
      <w:r>
        <w:rPr>
          <w:rFonts w:hint="eastAsia"/>
          <w:sz w:val="24"/>
          <w:szCs w:val="24"/>
          <w:lang w:val="en-US" w:eastAsia="zh-CN"/>
        </w:rPr>
        <w:t xml:space="preserve"> </w:t>
      </w:r>
      <w:r>
        <w:rPr>
          <w:rFonts w:hint="eastAsia"/>
          <w:sz w:val="24"/>
          <w:szCs w:val="24"/>
        </w:rPr>
        <w:t>人：</w:t>
      </w:r>
      <w:r>
        <w:rPr>
          <w:sz w:val="24"/>
          <w:szCs w:val="24"/>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sz w:val="24"/>
          <w:szCs w:val="24"/>
          <w:u w:val="single"/>
        </w:rPr>
      </w:pPr>
      <w:r>
        <w:rPr>
          <w:rFonts w:hint="eastAsia"/>
          <w:sz w:val="24"/>
          <w:szCs w:val="24"/>
        </w:rPr>
        <w:t>法人代表：</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sz w:val="24"/>
          <w:szCs w:val="24"/>
        </w:rPr>
      </w:pPr>
      <w:r>
        <w:rPr>
          <w:rFonts w:hint="eastAsia"/>
          <w:sz w:val="24"/>
          <w:szCs w:val="24"/>
        </w:rPr>
        <w:t>身份证号：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宋体"/>
          <w:sz w:val="24"/>
          <w:szCs w:val="24"/>
          <w:lang w:val="en-US" w:eastAsia="zh-CN"/>
        </w:rPr>
      </w:pPr>
      <w:r>
        <w:rPr>
          <w:rFonts w:hint="eastAsia"/>
          <w:sz w:val="24"/>
          <w:szCs w:val="24"/>
        </w:rPr>
        <w:t>电</w:t>
      </w:r>
      <w:r>
        <w:rPr>
          <w:rFonts w:hint="eastAsia"/>
          <w:sz w:val="24"/>
          <w:szCs w:val="24"/>
          <w:lang w:val="en-US" w:eastAsia="zh-CN"/>
        </w:rPr>
        <w:t xml:space="preserve">    </w:t>
      </w:r>
      <w:r>
        <w:rPr>
          <w:rFonts w:hint="eastAsia"/>
          <w:sz w:val="24"/>
          <w:szCs w:val="24"/>
        </w:rPr>
        <w:t>话：</w:t>
      </w:r>
      <w:r>
        <w:rPr>
          <w:sz w:val="24"/>
          <w:szCs w:val="24"/>
          <w:u w:val="single"/>
        </w:rPr>
        <w:t xml:space="preserve">                                        </w:t>
      </w:r>
      <w:r>
        <w:rPr>
          <w:rFonts w:hint="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宋体"/>
          <w:sz w:val="24"/>
          <w:szCs w:val="24"/>
          <w:lang w:val="en-US" w:eastAsia="zh-CN"/>
        </w:rPr>
      </w:pPr>
      <w:r>
        <w:rPr>
          <w:rFonts w:hint="eastAsia"/>
          <w:sz w:val="24"/>
          <w:szCs w:val="24"/>
        </w:rPr>
        <w:t>债</w:t>
      </w:r>
      <w:r>
        <w:rPr>
          <w:rFonts w:hint="eastAsia"/>
          <w:sz w:val="24"/>
          <w:szCs w:val="24"/>
          <w:lang w:val="en-US" w:eastAsia="zh-CN"/>
        </w:rPr>
        <w:t xml:space="preserve"> </w:t>
      </w:r>
      <w:r>
        <w:rPr>
          <w:rFonts w:hint="eastAsia"/>
          <w:sz w:val="24"/>
          <w:szCs w:val="24"/>
          <w:lang w:eastAsia="zh-CN"/>
        </w:rPr>
        <w:t>权</w:t>
      </w:r>
      <w:r>
        <w:rPr>
          <w:rFonts w:hint="eastAsia"/>
          <w:sz w:val="24"/>
          <w:szCs w:val="24"/>
          <w:lang w:val="en-US" w:eastAsia="zh-CN"/>
        </w:rPr>
        <w:t xml:space="preserve"> </w:t>
      </w:r>
      <w:r>
        <w:rPr>
          <w:rFonts w:hint="eastAsia"/>
          <w:sz w:val="24"/>
          <w:szCs w:val="24"/>
        </w:rPr>
        <w:t>人：</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sz w:val="24"/>
          <w:szCs w:val="24"/>
          <w:u w:val="single"/>
        </w:rPr>
      </w:pPr>
      <w:r>
        <w:rPr>
          <w:rFonts w:hint="eastAsia"/>
          <w:sz w:val="24"/>
          <w:szCs w:val="24"/>
        </w:rPr>
        <w:t>法人代表：</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sz w:val="24"/>
          <w:szCs w:val="24"/>
        </w:rPr>
      </w:pPr>
      <w:r>
        <w:rPr>
          <w:rFonts w:hint="eastAsia"/>
          <w:sz w:val="24"/>
          <w:szCs w:val="24"/>
        </w:rPr>
        <w:t>身份证号：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sz w:val="24"/>
          <w:szCs w:val="24"/>
          <w:u w:val="single"/>
        </w:rPr>
      </w:pPr>
      <w:r>
        <w:rPr>
          <w:rFonts w:hint="eastAsia"/>
          <w:sz w:val="24"/>
          <w:szCs w:val="24"/>
        </w:rPr>
        <w:t>电</w:t>
      </w:r>
      <w:r>
        <w:rPr>
          <w:rFonts w:hint="eastAsia"/>
          <w:sz w:val="24"/>
          <w:szCs w:val="24"/>
          <w:lang w:val="en-US" w:eastAsia="zh-CN"/>
        </w:rPr>
        <w:t xml:space="preserve">    </w:t>
      </w:r>
      <w:r>
        <w:rPr>
          <w:rFonts w:hint="eastAsia"/>
          <w:sz w:val="24"/>
          <w:szCs w:val="24"/>
        </w:rPr>
        <w:t>话：</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sz w:val="24"/>
          <w:szCs w:val="24"/>
          <w:u w:val="single"/>
        </w:rPr>
      </w:pPr>
      <w:r>
        <w:rPr>
          <w:rFonts w:hint="eastAsia"/>
          <w:sz w:val="24"/>
          <w:szCs w:val="24"/>
        </w:rPr>
        <w:t>借债</w:t>
      </w:r>
      <w:r>
        <w:rPr>
          <w:rFonts w:hint="eastAsia"/>
          <w:sz w:val="24"/>
          <w:szCs w:val="24"/>
          <w:lang w:eastAsia="zh-CN"/>
        </w:rPr>
        <w:t>原因</w:t>
      </w:r>
      <w:r>
        <w:rPr>
          <w:rFonts w:hint="eastAsia"/>
          <w:sz w:val="24"/>
          <w:szCs w:val="24"/>
        </w:rPr>
        <w:t>：</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sz w:val="24"/>
          <w:szCs w:val="24"/>
          <w:u w:val="single"/>
        </w:rPr>
      </w:pPr>
      <w:r>
        <w:rPr>
          <w:rFonts w:hint="eastAsia"/>
          <w:sz w:val="24"/>
          <w:szCs w:val="24"/>
        </w:rPr>
        <w:t>借债时间：</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sz w:val="24"/>
          <w:szCs w:val="24"/>
          <w:u w:val="single"/>
          <w:lang w:val="en-US" w:eastAsia="zh-CN"/>
        </w:rPr>
      </w:pPr>
      <w:r>
        <w:rPr>
          <w:rFonts w:hint="eastAsia"/>
          <w:sz w:val="24"/>
          <w:szCs w:val="24"/>
        </w:rPr>
        <w:t>应偿还时间：</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sz w:val="24"/>
          <w:szCs w:val="24"/>
          <w:u w:val="single"/>
        </w:rPr>
      </w:pPr>
      <w:r>
        <w:rPr>
          <w:rFonts w:hint="eastAsia"/>
          <w:sz w:val="24"/>
          <w:szCs w:val="24"/>
        </w:rPr>
        <w:t>审</w:t>
      </w:r>
      <w:r>
        <w:rPr>
          <w:rFonts w:hint="eastAsia"/>
          <w:sz w:val="24"/>
          <w:szCs w:val="24"/>
          <w:lang w:val="en-US" w:eastAsia="zh-CN"/>
        </w:rPr>
        <w:t xml:space="preserve"> </w:t>
      </w:r>
      <w:r>
        <w:rPr>
          <w:rFonts w:hint="eastAsia"/>
          <w:sz w:val="24"/>
          <w:szCs w:val="24"/>
        </w:rPr>
        <w:t>批</w:t>
      </w:r>
      <w:r>
        <w:rPr>
          <w:rFonts w:hint="eastAsia"/>
          <w:sz w:val="24"/>
          <w:szCs w:val="24"/>
          <w:lang w:val="en-US" w:eastAsia="zh-CN"/>
        </w:rPr>
        <w:t xml:space="preserve"> </w:t>
      </w:r>
      <w:r>
        <w:rPr>
          <w:rFonts w:hint="eastAsia"/>
          <w:sz w:val="24"/>
          <w:szCs w:val="24"/>
        </w:rPr>
        <w:t>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sz w:val="24"/>
          <w:szCs w:val="24"/>
        </w:rPr>
      </w:pPr>
      <w:r>
        <w:rPr>
          <w:rFonts w:hint="eastAsia"/>
          <w:sz w:val="24"/>
          <w:szCs w:val="24"/>
        </w:rPr>
        <w:t>双方确认：</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outlineLvl w:val="9"/>
        <w:rPr>
          <w:sz w:val="24"/>
          <w:szCs w:val="24"/>
        </w:rPr>
      </w:pPr>
      <w:r>
        <w:rPr>
          <w:rFonts w:hint="eastAsia"/>
          <w:sz w:val="24"/>
          <w:szCs w:val="24"/>
        </w:rPr>
        <w:t>截止至</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rPr>
        <w:t xml:space="preserve"> </w:t>
      </w:r>
      <w:r>
        <w:rPr>
          <w:sz w:val="24"/>
          <w:szCs w:val="24"/>
          <w:u w:val="single"/>
        </w:rPr>
        <w:t xml:space="preserve">     </w:t>
      </w:r>
      <w:r>
        <w:rPr>
          <w:rFonts w:hint="eastAsia"/>
          <w:sz w:val="24"/>
          <w:szCs w:val="24"/>
        </w:rPr>
        <w:t>日止，债务人欠债权人人民币</w:t>
      </w:r>
      <w:r>
        <w:rPr>
          <w:sz w:val="24"/>
          <w:szCs w:val="24"/>
        </w:rPr>
        <w:t xml:space="preserve"> </w:t>
      </w:r>
      <w:r>
        <w:rPr>
          <w:sz w:val="24"/>
          <w:szCs w:val="24"/>
          <w:u w:val="single"/>
        </w:rPr>
        <w:t xml:space="preserve">      </w:t>
      </w:r>
      <w:r>
        <w:rPr>
          <w:sz w:val="24"/>
          <w:szCs w:val="24"/>
        </w:rPr>
        <w:t xml:space="preserve">  (</w:t>
      </w:r>
      <w:r>
        <w:rPr>
          <w:rFonts w:hint="eastAsia"/>
          <w:sz w:val="24"/>
          <w:szCs w:val="24"/>
        </w:rPr>
        <w:t>大写</w:t>
      </w:r>
      <w:r>
        <w:rPr>
          <w:sz w:val="24"/>
          <w:szCs w:val="24"/>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sz w:val="24"/>
          <w:szCs w:val="24"/>
        </w:rPr>
      </w:pPr>
      <w:r>
        <w:rPr>
          <w:rFonts w:hint="eastAsia"/>
          <w:sz w:val="24"/>
          <w:szCs w:val="24"/>
        </w:rPr>
        <w:t>债权人（签字或盖章）：</w:t>
      </w:r>
      <w:r>
        <w:rPr>
          <w:sz w:val="24"/>
          <w:szCs w:val="24"/>
          <w:u w:val="single"/>
        </w:rPr>
        <w:t xml:space="preserve">                  </w:t>
      </w:r>
      <w:r>
        <w:rPr>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sz w:val="24"/>
          <w:szCs w:val="24"/>
        </w:rPr>
      </w:pPr>
      <w:r>
        <w:rPr>
          <w:rFonts w:hint="eastAsia"/>
          <w:sz w:val="24"/>
          <w:szCs w:val="24"/>
        </w:rPr>
        <w:t>法人代表</w:t>
      </w:r>
      <w:r>
        <w:rPr>
          <w:rFonts w:hint="eastAsia"/>
          <w:sz w:val="24"/>
          <w:szCs w:val="24"/>
          <w:lang w:eastAsia="zh-CN"/>
        </w:rPr>
        <w:t>（</w:t>
      </w:r>
      <w:r>
        <w:rPr>
          <w:rFonts w:hint="eastAsia"/>
          <w:sz w:val="24"/>
          <w:szCs w:val="24"/>
        </w:rPr>
        <w:t>签字</w:t>
      </w:r>
      <w:r>
        <w:rPr>
          <w:rFonts w:hint="eastAsia"/>
          <w:sz w:val="24"/>
          <w:szCs w:val="24"/>
          <w:lang w:eastAsia="zh-CN"/>
        </w:rPr>
        <w:t>）</w:t>
      </w:r>
      <w:r>
        <w:rPr>
          <w:rFonts w:hint="eastAsia"/>
          <w:sz w:val="24"/>
          <w:szCs w:val="24"/>
        </w:rPr>
        <w:t>：</w:t>
      </w:r>
      <w:r>
        <w:rPr>
          <w:sz w:val="24"/>
          <w:szCs w:val="24"/>
          <w:u w:val="single"/>
        </w:rPr>
        <w:t xml:space="preserve">                  </w:t>
      </w:r>
      <w:r>
        <w:rPr>
          <w:rFonts w:hint="eastAsia"/>
          <w:sz w:val="24"/>
          <w:szCs w:val="24"/>
          <w:u w:val="single"/>
          <w:lang w:val="en-US" w:eastAsia="zh-CN"/>
        </w:rPr>
        <w:t xml:space="preserve">    </w:t>
      </w:r>
      <w:r>
        <w:rPr>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sz w:val="24"/>
          <w:szCs w:val="24"/>
        </w:rPr>
      </w:pPr>
      <w:r>
        <w:rPr>
          <w:rFonts w:hint="eastAsia"/>
          <w:sz w:val="24"/>
          <w:szCs w:val="24"/>
        </w:rPr>
        <w:t>债务人（签字或盖章）：</w:t>
      </w:r>
      <w:r>
        <w:rPr>
          <w:sz w:val="24"/>
          <w:szCs w:val="24"/>
          <w:u w:val="single"/>
        </w:rPr>
        <w:t xml:space="preserve">                  </w:t>
      </w:r>
      <w:r>
        <w:rPr>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sz w:val="24"/>
          <w:szCs w:val="24"/>
        </w:rPr>
      </w:pPr>
      <w:r>
        <w:rPr>
          <w:rFonts w:hint="eastAsia"/>
          <w:sz w:val="24"/>
          <w:szCs w:val="24"/>
        </w:rPr>
        <w:t>法人代表</w:t>
      </w:r>
      <w:r>
        <w:rPr>
          <w:rFonts w:hint="eastAsia"/>
          <w:sz w:val="24"/>
          <w:szCs w:val="24"/>
          <w:lang w:eastAsia="zh-CN"/>
        </w:rPr>
        <w:t>（</w:t>
      </w:r>
      <w:r>
        <w:rPr>
          <w:rFonts w:hint="eastAsia"/>
          <w:sz w:val="24"/>
          <w:szCs w:val="24"/>
        </w:rPr>
        <w:t>签字</w:t>
      </w:r>
      <w:r>
        <w:rPr>
          <w:rFonts w:hint="eastAsia"/>
          <w:sz w:val="24"/>
          <w:szCs w:val="24"/>
          <w:lang w:eastAsia="zh-CN"/>
        </w:rPr>
        <w:t>）</w:t>
      </w:r>
      <w:r>
        <w:rPr>
          <w:rFonts w:hint="eastAsia"/>
          <w:sz w:val="24"/>
          <w:szCs w:val="24"/>
        </w:rPr>
        <w:t>：</w:t>
      </w:r>
      <w:r>
        <w:rPr>
          <w:sz w:val="24"/>
          <w:szCs w:val="24"/>
          <w:u w:val="single"/>
        </w:rPr>
        <w:t xml:space="preserve">                  </w:t>
      </w:r>
      <w:r>
        <w:rPr>
          <w:rFonts w:hint="eastAsia"/>
          <w:sz w:val="24"/>
          <w:szCs w:val="24"/>
          <w:u w:val="single"/>
          <w:lang w:val="en-US" w:eastAsia="zh-CN"/>
        </w:rPr>
        <w:t xml:space="preserve">    </w:t>
      </w:r>
      <w:r>
        <w:rPr>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pPr>
      <w:r>
        <w:rPr>
          <w:sz w:val="24"/>
          <w:szCs w:val="24"/>
        </w:rPr>
        <w:t xml:space="preserve">     </w:t>
      </w:r>
      <w:r>
        <w:rPr>
          <w:rFonts w:hint="eastAsia"/>
          <w:sz w:val="24"/>
          <w:szCs w:val="24"/>
        </w:rPr>
        <w:t>　　　　　　　　　　　　　　</w:t>
      </w:r>
      <w:r>
        <w:rPr>
          <w:rFonts w:hint="eastAsia"/>
          <w:sz w:val="24"/>
          <w:szCs w:val="24"/>
          <w:lang w:val="en-US" w:eastAsia="zh-CN"/>
        </w:rPr>
        <w:t xml:space="preserve">        </w:t>
      </w:r>
      <w:r>
        <w:rPr>
          <w:rFonts w:hint="eastAsia"/>
          <w:sz w:val="24"/>
          <w:szCs w:val="24"/>
        </w:rPr>
        <w:t>　确认时间：</w:t>
      </w:r>
      <w:r>
        <w:rPr>
          <w:rFonts w:hint="eastAsia"/>
          <w:sz w:val="24"/>
          <w:szCs w:val="24"/>
          <w:lang w:val="en-US" w:eastAsia="zh-CN"/>
        </w:rPr>
        <w:t>2018年</w:t>
      </w:r>
      <w:r>
        <w:rPr>
          <w:rFonts w:hint="eastAsia"/>
          <w:sz w:val="24"/>
          <w:szCs w:val="24"/>
          <w:u w:val="single"/>
          <w:lang w:val="en-US" w:eastAsia="zh-CN"/>
        </w:rPr>
        <w:t xml:space="preserve">   </w:t>
      </w:r>
      <w:r>
        <w:rPr>
          <w:rFonts w:hint="eastAsia"/>
          <w:sz w:val="24"/>
          <w:szCs w:val="24"/>
          <w:u w:val="none"/>
          <w:lang w:val="en-US" w:eastAsia="zh-CN"/>
        </w:rPr>
        <w:t>月</w:t>
      </w:r>
      <w:r>
        <w:rPr>
          <w:rFonts w:hint="eastAsia"/>
          <w:sz w:val="24"/>
          <w:szCs w:val="24"/>
          <w:u w:val="single"/>
          <w:lang w:val="en-US" w:eastAsia="zh-CN"/>
        </w:rPr>
        <w:t xml:space="preserve">   </w:t>
      </w:r>
      <w:r>
        <w:rPr>
          <w:rFonts w:hint="eastAsia"/>
          <w:sz w:val="24"/>
          <w:szCs w:val="24"/>
          <w:u w:val="none"/>
          <w:lang w:val="en-US" w:eastAsia="zh-CN"/>
        </w:rPr>
        <w:t>日</w:t>
      </w:r>
    </w:p>
    <w:p>
      <w:pPr>
        <w:jc w:val="center"/>
        <w:rPr>
          <w:rFonts w:hint="eastAsia"/>
          <w:b/>
          <w:bCs/>
          <w:sz w:val="44"/>
          <w:szCs w:val="44"/>
        </w:rPr>
      </w:pPr>
      <w:r>
        <w:rPr>
          <w:rFonts w:hint="eastAsia"/>
          <w:b/>
          <w:bCs/>
          <w:sz w:val="44"/>
          <w:szCs w:val="44"/>
        </w:rPr>
        <w:t>农村集体债务核销申报表</w:t>
      </w:r>
    </w:p>
    <w:tbl>
      <w:tblPr>
        <w:tblStyle w:val="10"/>
        <w:tblpPr w:leftFromText="180" w:rightFromText="180" w:vertAnchor="page" w:horzAnchor="page" w:tblpX="1702" w:tblpY="3496"/>
        <w:tblOverlap w:val="never"/>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7"/>
        <w:gridCol w:w="1058"/>
        <w:gridCol w:w="1065"/>
        <w:gridCol w:w="1215"/>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2027" w:type="dxa"/>
            <w:vAlign w:val="center"/>
          </w:tcPr>
          <w:p>
            <w:pPr>
              <w:jc w:val="center"/>
              <w:rPr>
                <w:rFonts w:eastAsia="宋体"/>
              </w:rPr>
            </w:pPr>
            <w:r>
              <w:rPr>
                <w:rFonts w:hint="eastAsia"/>
              </w:rPr>
              <w:t>会计科目</w:t>
            </w:r>
          </w:p>
        </w:tc>
        <w:tc>
          <w:tcPr>
            <w:tcW w:w="1058" w:type="dxa"/>
            <w:vAlign w:val="center"/>
          </w:tcPr>
          <w:p>
            <w:pPr>
              <w:jc w:val="center"/>
              <w:rPr>
                <w:rFonts w:eastAsia="宋体"/>
              </w:rPr>
            </w:pPr>
            <w:r>
              <w:rPr>
                <w:rFonts w:hint="eastAsia"/>
              </w:rPr>
              <w:t>债权人</w:t>
            </w:r>
          </w:p>
        </w:tc>
        <w:tc>
          <w:tcPr>
            <w:tcW w:w="1065" w:type="dxa"/>
            <w:vAlign w:val="center"/>
          </w:tcPr>
          <w:p>
            <w:pPr>
              <w:jc w:val="center"/>
              <w:rPr>
                <w:rFonts w:eastAsia="宋体"/>
              </w:rPr>
            </w:pPr>
            <w:r>
              <w:rPr>
                <w:rFonts w:hint="eastAsia"/>
              </w:rPr>
              <w:t>账面金额</w:t>
            </w:r>
          </w:p>
        </w:tc>
        <w:tc>
          <w:tcPr>
            <w:tcW w:w="1215" w:type="dxa"/>
            <w:vAlign w:val="center"/>
          </w:tcPr>
          <w:p>
            <w:pPr>
              <w:jc w:val="center"/>
              <w:rPr>
                <w:rFonts w:eastAsia="宋体"/>
              </w:rPr>
            </w:pPr>
            <w:r>
              <w:rPr>
                <w:rFonts w:hint="eastAsia"/>
              </w:rPr>
              <w:t>核销金额</w:t>
            </w:r>
          </w:p>
        </w:tc>
        <w:tc>
          <w:tcPr>
            <w:tcW w:w="3315" w:type="dxa"/>
            <w:vAlign w:val="center"/>
          </w:tcPr>
          <w:p>
            <w:pPr>
              <w:jc w:val="center"/>
              <w:rPr>
                <w:rFonts w:hint="eastAsia" w:eastAsiaTheme="minorEastAsia"/>
                <w:lang w:eastAsia="zh-CN"/>
              </w:rPr>
            </w:pPr>
            <w:r>
              <w:rPr>
                <w:rFonts w:hint="eastAsia"/>
              </w:rPr>
              <w:t>核销</w:t>
            </w:r>
            <w:r>
              <w:rPr>
                <w:rFonts w:hint="eastAsia"/>
                <w:lang w:eastAsia="zh-CN"/>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27" w:type="dxa"/>
            <w:vAlign w:val="top"/>
          </w:tcPr>
          <w:p/>
        </w:tc>
        <w:tc>
          <w:tcPr>
            <w:tcW w:w="1058" w:type="dxa"/>
            <w:vAlign w:val="top"/>
          </w:tcPr>
          <w:p/>
        </w:tc>
        <w:tc>
          <w:tcPr>
            <w:tcW w:w="1065" w:type="dxa"/>
            <w:vAlign w:val="top"/>
          </w:tcPr>
          <w:p/>
        </w:tc>
        <w:tc>
          <w:tcPr>
            <w:tcW w:w="1215" w:type="dxa"/>
            <w:vAlign w:val="top"/>
          </w:tcPr>
          <w:p/>
        </w:tc>
        <w:tc>
          <w:tcPr>
            <w:tcW w:w="3315"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27" w:type="dxa"/>
            <w:vAlign w:val="top"/>
          </w:tcPr>
          <w:p/>
        </w:tc>
        <w:tc>
          <w:tcPr>
            <w:tcW w:w="1058" w:type="dxa"/>
            <w:vAlign w:val="top"/>
          </w:tcPr>
          <w:p/>
        </w:tc>
        <w:tc>
          <w:tcPr>
            <w:tcW w:w="1065" w:type="dxa"/>
            <w:vAlign w:val="top"/>
          </w:tcPr>
          <w:p/>
        </w:tc>
        <w:tc>
          <w:tcPr>
            <w:tcW w:w="1215" w:type="dxa"/>
            <w:vAlign w:val="top"/>
          </w:tcPr>
          <w:p/>
        </w:tc>
        <w:tc>
          <w:tcPr>
            <w:tcW w:w="3315"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27" w:type="dxa"/>
            <w:vAlign w:val="top"/>
          </w:tcPr>
          <w:p/>
        </w:tc>
        <w:tc>
          <w:tcPr>
            <w:tcW w:w="1058" w:type="dxa"/>
            <w:vAlign w:val="top"/>
          </w:tcPr>
          <w:p/>
        </w:tc>
        <w:tc>
          <w:tcPr>
            <w:tcW w:w="1065" w:type="dxa"/>
            <w:vAlign w:val="top"/>
          </w:tcPr>
          <w:p/>
        </w:tc>
        <w:tc>
          <w:tcPr>
            <w:tcW w:w="1215" w:type="dxa"/>
            <w:vAlign w:val="top"/>
          </w:tcPr>
          <w:p/>
        </w:tc>
        <w:tc>
          <w:tcPr>
            <w:tcW w:w="3315"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2027" w:type="dxa"/>
            <w:vAlign w:val="center"/>
          </w:tcPr>
          <w:p>
            <w:pPr>
              <w:jc w:val="center"/>
              <w:rPr>
                <w:rFonts w:eastAsia="宋体"/>
              </w:rPr>
            </w:pPr>
            <w:r>
              <w:rPr>
                <w:rFonts w:hint="eastAsia"/>
              </w:rPr>
              <w:t>合计</w:t>
            </w:r>
          </w:p>
        </w:tc>
        <w:tc>
          <w:tcPr>
            <w:tcW w:w="6653" w:type="dxa"/>
            <w:gridSpan w:val="4"/>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2" w:hRule="atLeast"/>
        </w:trPr>
        <w:tc>
          <w:tcPr>
            <w:tcW w:w="2027" w:type="dxa"/>
            <w:vAlign w:val="center"/>
          </w:tcPr>
          <w:p>
            <w:pPr>
              <w:jc w:val="center"/>
              <w:rPr>
                <w:rFonts w:hint="eastAsia" w:eastAsiaTheme="minorEastAsia"/>
                <w:lang w:eastAsia="zh-CN"/>
              </w:rPr>
            </w:pPr>
            <w:r>
              <w:rPr>
                <w:rFonts w:hint="eastAsia"/>
                <w:lang w:eastAsia="zh-CN"/>
              </w:rPr>
              <w:t>债权人意见</w:t>
            </w:r>
          </w:p>
        </w:tc>
        <w:tc>
          <w:tcPr>
            <w:tcW w:w="6653" w:type="dxa"/>
            <w:gridSpan w:val="4"/>
            <w:vAlign w:val="top"/>
          </w:tcPr>
          <w:p>
            <w:pPr>
              <w:ind w:firstLine="4200" w:firstLineChars="2000"/>
              <w:rPr>
                <w:rFonts w:hint="eastAsia"/>
              </w:rPr>
            </w:pPr>
          </w:p>
          <w:p>
            <w:pPr>
              <w:ind w:firstLine="4200" w:firstLineChars="2000"/>
              <w:rPr>
                <w:rFonts w:hint="eastAsia"/>
              </w:rPr>
            </w:pPr>
          </w:p>
          <w:p>
            <w:pPr>
              <w:ind w:firstLine="4200" w:firstLineChars="2000"/>
              <w:rPr>
                <w:rFonts w:hint="eastAsia"/>
              </w:rPr>
            </w:pPr>
          </w:p>
          <w:p>
            <w:pPr>
              <w:rPr>
                <w:rFonts w:hint="eastAsia"/>
                <w:lang w:val="en-US" w:eastAsia="zh-CN"/>
              </w:rPr>
            </w:pPr>
            <w:r>
              <w:rPr>
                <w:rFonts w:hint="eastAsia"/>
                <w:lang w:eastAsia="zh-CN"/>
              </w:rPr>
              <w:t>债权人：（签字）</w:t>
            </w:r>
            <w:r>
              <w:rPr>
                <w:rFonts w:hint="eastAsia"/>
                <w:lang w:val="en-US" w:eastAsia="zh-CN"/>
              </w:rPr>
              <w:t xml:space="preserve">                     （公章）</w:t>
            </w:r>
          </w:p>
          <w:p>
            <w:pPr>
              <w:rPr>
                <w:rFonts w:hint="eastAsia"/>
                <w:lang w:val="en-US" w:eastAsia="zh-CN"/>
              </w:rPr>
            </w:pPr>
            <w:r>
              <w:rPr>
                <w:rFonts w:hint="eastAsia"/>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2" w:hRule="atLeast"/>
        </w:trPr>
        <w:tc>
          <w:tcPr>
            <w:tcW w:w="2027" w:type="dxa"/>
            <w:vAlign w:val="center"/>
          </w:tcPr>
          <w:p>
            <w:pPr>
              <w:jc w:val="center"/>
              <w:rPr>
                <w:rFonts w:hint="eastAsia"/>
                <w:lang w:eastAsia="zh-CN"/>
              </w:rPr>
            </w:pPr>
            <w:r>
              <w:rPr>
                <w:rFonts w:hint="eastAsia"/>
              </w:rPr>
              <w:t>村</w:t>
            </w:r>
            <w:r>
              <w:rPr>
                <w:rFonts w:hint="eastAsia"/>
                <w:lang w:eastAsia="zh-CN"/>
              </w:rPr>
              <w:t>集体经济组织</w:t>
            </w:r>
          </w:p>
          <w:p>
            <w:pPr>
              <w:jc w:val="center"/>
            </w:pPr>
            <w:r>
              <w:rPr>
                <w:rFonts w:hint="eastAsia"/>
              </w:rPr>
              <w:t>意见</w:t>
            </w:r>
          </w:p>
          <w:p>
            <w:pPr>
              <w:jc w:val="center"/>
            </w:pPr>
          </w:p>
        </w:tc>
        <w:tc>
          <w:tcPr>
            <w:tcW w:w="6653" w:type="dxa"/>
            <w:gridSpan w:val="4"/>
            <w:vAlign w:val="top"/>
          </w:tcPr>
          <w:p/>
          <w:p/>
          <w:p/>
          <w:p>
            <w:pPr>
              <w:rPr>
                <w:rFonts w:hint="eastAsia" w:eastAsiaTheme="minorEastAsia"/>
                <w:lang w:val="en-US" w:eastAsia="zh-CN"/>
              </w:rPr>
            </w:pPr>
            <w:r>
              <w:rPr>
                <w:rFonts w:hint="eastAsia"/>
                <w:lang w:eastAsia="zh-CN"/>
              </w:rPr>
              <w:t>负责人</w:t>
            </w:r>
            <w:r>
              <w:rPr>
                <w:rFonts w:hint="eastAsia"/>
              </w:rPr>
              <w:t>：（签字）</w:t>
            </w:r>
            <w:r>
              <w:rPr>
                <w:rFonts w:hint="eastAsia"/>
                <w:lang w:val="en-US" w:eastAsia="zh-CN"/>
              </w:rPr>
              <w:t xml:space="preserve">                      （公章）</w:t>
            </w:r>
          </w:p>
          <w:p/>
          <w:p>
            <w:pPr>
              <w:ind w:firstLine="4200" w:firstLineChars="2000"/>
              <w:rPr>
                <w:rFonts w:hint="eastAsia"/>
              </w:rPr>
            </w:pPr>
            <w:r>
              <w:rPr>
                <w:rFonts w:hint="eastAsia"/>
              </w:rPr>
              <w:t>年   月   日</w:t>
            </w:r>
          </w:p>
          <w:p>
            <w:pPr>
              <w:ind w:firstLine="4200" w:firstLineChars="200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1" w:hRule="atLeast"/>
        </w:trPr>
        <w:tc>
          <w:tcPr>
            <w:tcW w:w="2027" w:type="dxa"/>
            <w:vAlign w:val="center"/>
          </w:tcPr>
          <w:p>
            <w:pPr>
              <w:jc w:val="center"/>
            </w:pPr>
            <w:r>
              <w:rPr>
                <w:rFonts w:hint="eastAsia"/>
              </w:rPr>
              <w:t>村</w:t>
            </w:r>
            <w:r>
              <w:rPr>
                <w:rFonts w:hint="eastAsia"/>
                <w:lang w:eastAsia="zh-CN"/>
              </w:rPr>
              <w:t>清产核资</w:t>
            </w:r>
            <w:r>
              <w:rPr>
                <w:rFonts w:hint="eastAsia"/>
              </w:rPr>
              <w:t>小组</w:t>
            </w:r>
          </w:p>
          <w:p>
            <w:pPr>
              <w:jc w:val="center"/>
            </w:pPr>
            <w:r>
              <w:rPr>
                <w:rFonts w:hint="eastAsia"/>
              </w:rPr>
              <w:t>意见</w:t>
            </w:r>
          </w:p>
        </w:tc>
        <w:tc>
          <w:tcPr>
            <w:tcW w:w="6653" w:type="dxa"/>
            <w:gridSpan w:val="4"/>
            <w:vAlign w:val="top"/>
          </w:tcPr>
          <w:p/>
          <w:p/>
          <w:p>
            <w:pPr>
              <w:rPr>
                <w:rFonts w:hint="eastAsia"/>
                <w:lang w:eastAsia="zh-CN"/>
              </w:rPr>
            </w:pPr>
          </w:p>
          <w:p>
            <w:r>
              <w:rPr>
                <w:rFonts w:hint="eastAsia"/>
                <w:lang w:eastAsia="zh-CN"/>
              </w:rPr>
              <w:t>清产核资</w:t>
            </w:r>
            <w:r>
              <w:rPr>
                <w:rFonts w:hint="eastAsia"/>
              </w:rPr>
              <w:t>小组：（签字）</w:t>
            </w:r>
          </w:p>
          <w:p/>
          <w:p>
            <w:pPr>
              <w:ind w:firstLine="4200" w:firstLineChars="2000"/>
            </w:pPr>
            <w:r>
              <w:rPr>
                <w:rFonts w:hint="eastAsia"/>
              </w:rPr>
              <w:t>年   月   日</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8" w:hRule="atLeast"/>
        </w:trPr>
        <w:tc>
          <w:tcPr>
            <w:tcW w:w="2027" w:type="dxa"/>
            <w:vAlign w:val="center"/>
          </w:tcPr>
          <w:p>
            <w:pPr>
              <w:jc w:val="center"/>
            </w:pPr>
            <w:r>
              <w:rPr>
                <w:rFonts w:hint="eastAsia"/>
              </w:rPr>
              <w:t>乡（镇）</w:t>
            </w:r>
            <w:r>
              <w:rPr>
                <w:rFonts w:hint="eastAsia"/>
                <w:lang w:eastAsia="zh-CN"/>
              </w:rPr>
              <w:t>农经机构</w:t>
            </w:r>
            <w:r>
              <w:rPr>
                <w:rFonts w:hint="eastAsia"/>
              </w:rPr>
              <w:t>意见</w:t>
            </w:r>
          </w:p>
          <w:p>
            <w:pPr>
              <w:jc w:val="center"/>
            </w:pPr>
          </w:p>
        </w:tc>
        <w:tc>
          <w:tcPr>
            <w:tcW w:w="6653" w:type="dxa"/>
            <w:gridSpan w:val="4"/>
            <w:vAlign w:val="top"/>
          </w:tcPr>
          <w:p/>
          <w:p/>
          <w:p/>
          <w:p>
            <w:pPr>
              <w:rPr>
                <w:rFonts w:hint="eastAsia" w:eastAsiaTheme="minorEastAsia"/>
                <w:lang w:val="en-US" w:eastAsia="zh-CN"/>
              </w:rPr>
            </w:pPr>
            <w:r>
              <w:rPr>
                <w:rFonts w:hint="eastAsia"/>
              </w:rPr>
              <w:t>核实人：（签字）</w:t>
            </w:r>
            <w:r>
              <w:rPr>
                <w:rFonts w:hint="eastAsia"/>
                <w:lang w:val="en-US" w:eastAsia="zh-CN"/>
              </w:rPr>
              <w:t xml:space="preserve">                       （公章）</w:t>
            </w:r>
          </w:p>
          <w:p/>
          <w:p>
            <w:pPr>
              <w:ind w:firstLine="4200" w:firstLineChars="2000"/>
            </w:pPr>
            <w:r>
              <w:rPr>
                <w:rFonts w:hint="eastAsia"/>
              </w:rPr>
              <w:t>年   月   日</w:t>
            </w:r>
          </w:p>
          <w:p/>
        </w:tc>
      </w:tr>
    </w:tbl>
    <w:p>
      <w:pPr>
        <w:jc w:val="left"/>
        <w:rPr>
          <w:rFonts w:hint="eastAsia"/>
          <w:sz w:val="24"/>
          <w:szCs w:val="24"/>
        </w:rPr>
      </w:pPr>
    </w:p>
    <w:p>
      <w:pPr>
        <w:ind w:firstLine="240" w:firstLineChars="100"/>
        <w:jc w:val="left"/>
        <w:rPr>
          <w:sz w:val="24"/>
          <w:szCs w:val="24"/>
        </w:rPr>
      </w:pPr>
      <w:r>
        <w:rPr>
          <w:rFonts w:hint="eastAsia"/>
          <w:sz w:val="24"/>
          <w:szCs w:val="24"/>
        </w:rPr>
        <w:t>申报单位：                       年    月   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pPr>
    </w:p>
    <w:p>
      <w:pPr>
        <w:jc w:val="center"/>
        <w:rPr>
          <w:rFonts w:hint="eastAsia"/>
          <w:b/>
          <w:bCs/>
          <w:sz w:val="44"/>
          <w:szCs w:val="44"/>
        </w:rPr>
      </w:pPr>
      <w:r>
        <w:rPr>
          <w:rFonts w:hint="eastAsia"/>
          <w:b/>
          <w:bCs/>
          <w:sz w:val="44"/>
          <w:szCs w:val="44"/>
        </w:rPr>
        <w:t>农村集体债</w:t>
      </w:r>
      <w:r>
        <w:rPr>
          <w:rFonts w:hint="eastAsia"/>
          <w:b/>
          <w:bCs/>
          <w:sz w:val="44"/>
          <w:szCs w:val="44"/>
          <w:lang w:eastAsia="zh-CN"/>
        </w:rPr>
        <w:t>权</w:t>
      </w:r>
      <w:r>
        <w:rPr>
          <w:rFonts w:hint="eastAsia"/>
          <w:b/>
          <w:bCs/>
          <w:sz w:val="44"/>
          <w:szCs w:val="44"/>
        </w:rPr>
        <w:t>核销申报表</w:t>
      </w:r>
    </w:p>
    <w:tbl>
      <w:tblPr>
        <w:tblStyle w:val="10"/>
        <w:tblpPr w:leftFromText="180" w:rightFromText="180" w:vertAnchor="page" w:horzAnchor="page" w:tblpX="1702" w:tblpY="3496"/>
        <w:tblOverlap w:val="never"/>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7"/>
        <w:gridCol w:w="1337"/>
        <w:gridCol w:w="1185"/>
        <w:gridCol w:w="1299"/>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2027" w:type="dxa"/>
            <w:vAlign w:val="center"/>
          </w:tcPr>
          <w:p>
            <w:pPr>
              <w:jc w:val="center"/>
              <w:rPr>
                <w:rFonts w:eastAsia="宋体"/>
              </w:rPr>
            </w:pPr>
            <w:r>
              <w:rPr>
                <w:rFonts w:hint="eastAsia"/>
              </w:rPr>
              <w:t>会计科目</w:t>
            </w:r>
          </w:p>
        </w:tc>
        <w:tc>
          <w:tcPr>
            <w:tcW w:w="1337" w:type="dxa"/>
            <w:vAlign w:val="center"/>
          </w:tcPr>
          <w:p>
            <w:pPr>
              <w:jc w:val="center"/>
              <w:rPr>
                <w:rFonts w:eastAsia="宋体"/>
              </w:rPr>
            </w:pPr>
            <w:r>
              <w:rPr>
                <w:rFonts w:hint="eastAsia"/>
              </w:rPr>
              <w:t>债</w:t>
            </w:r>
            <w:r>
              <w:rPr>
                <w:rFonts w:hint="eastAsia"/>
                <w:lang w:eastAsia="zh-CN"/>
              </w:rPr>
              <w:t>务</w:t>
            </w:r>
            <w:r>
              <w:rPr>
                <w:rFonts w:hint="eastAsia"/>
              </w:rPr>
              <w:t>人</w:t>
            </w:r>
          </w:p>
        </w:tc>
        <w:tc>
          <w:tcPr>
            <w:tcW w:w="1185" w:type="dxa"/>
            <w:vAlign w:val="center"/>
          </w:tcPr>
          <w:p>
            <w:pPr>
              <w:jc w:val="center"/>
              <w:rPr>
                <w:rFonts w:eastAsia="宋体"/>
              </w:rPr>
            </w:pPr>
            <w:r>
              <w:rPr>
                <w:rFonts w:hint="eastAsia"/>
              </w:rPr>
              <w:t>账面金额</w:t>
            </w:r>
          </w:p>
        </w:tc>
        <w:tc>
          <w:tcPr>
            <w:tcW w:w="1299" w:type="dxa"/>
            <w:vAlign w:val="center"/>
          </w:tcPr>
          <w:p>
            <w:pPr>
              <w:jc w:val="center"/>
              <w:rPr>
                <w:rFonts w:eastAsia="宋体"/>
              </w:rPr>
            </w:pPr>
            <w:r>
              <w:rPr>
                <w:rFonts w:hint="eastAsia"/>
              </w:rPr>
              <w:t>核销金额</w:t>
            </w:r>
          </w:p>
        </w:tc>
        <w:tc>
          <w:tcPr>
            <w:tcW w:w="2832" w:type="dxa"/>
            <w:vAlign w:val="center"/>
          </w:tcPr>
          <w:p>
            <w:pPr>
              <w:jc w:val="center"/>
              <w:rPr>
                <w:rFonts w:hint="eastAsia" w:eastAsiaTheme="minorEastAsia"/>
                <w:lang w:eastAsia="zh-CN"/>
              </w:rPr>
            </w:pPr>
            <w:r>
              <w:rPr>
                <w:rFonts w:hint="eastAsia"/>
              </w:rPr>
              <w:t>核销</w:t>
            </w:r>
            <w:r>
              <w:rPr>
                <w:rFonts w:hint="eastAsia"/>
                <w:lang w:eastAsia="zh-CN"/>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27" w:type="dxa"/>
            <w:vAlign w:val="top"/>
          </w:tcPr>
          <w:p/>
        </w:tc>
        <w:tc>
          <w:tcPr>
            <w:tcW w:w="1337" w:type="dxa"/>
            <w:vAlign w:val="top"/>
          </w:tcPr>
          <w:p/>
        </w:tc>
        <w:tc>
          <w:tcPr>
            <w:tcW w:w="1185" w:type="dxa"/>
            <w:vAlign w:val="top"/>
          </w:tcPr>
          <w:p/>
        </w:tc>
        <w:tc>
          <w:tcPr>
            <w:tcW w:w="1299" w:type="dxa"/>
            <w:vAlign w:val="top"/>
          </w:tcPr>
          <w:p/>
        </w:tc>
        <w:tc>
          <w:tcPr>
            <w:tcW w:w="2832"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27" w:type="dxa"/>
            <w:vAlign w:val="top"/>
          </w:tcPr>
          <w:p/>
        </w:tc>
        <w:tc>
          <w:tcPr>
            <w:tcW w:w="1337" w:type="dxa"/>
            <w:vAlign w:val="top"/>
          </w:tcPr>
          <w:p/>
        </w:tc>
        <w:tc>
          <w:tcPr>
            <w:tcW w:w="1185" w:type="dxa"/>
            <w:vAlign w:val="top"/>
          </w:tcPr>
          <w:p/>
        </w:tc>
        <w:tc>
          <w:tcPr>
            <w:tcW w:w="1299" w:type="dxa"/>
            <w:vAlign w:val="top"/>
          </w:tcPr>
          <w:p/>
        </w:tc>
        <w:tc>
          <w:tcPr>
            <w:tcW w:w="2832"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27" w:type="dxa"/>
            <w:vAlign w:val="top"/>
          </w:tcPr>
          <w:p/>
        </w:tc>
        <w:tc>
          <w:tcPr>
            <w:tcW w:w="1337" w:type="dxa"/>
            <w:vAlign w:val="top"/>
          </w:tcPr>
          <w:p/>
        </w:tc>
        <w:tc>
          <w:tcPr>
            <w:tcW w:w="1185" w:type="dxa"/>
            <w:vAlign w:val="top"/>
          </w:tcPr>
          <w:p/>
        </w:tc>
        <w:tc>
          <w:tcPr>
            <w:tcW w:w="1299" w:type="dxa"/>
            <w:vAlign w:val="top"/>
          </w:tcPr>
          <w:p/>
        </w:tc>
        <w:tc>
          <w:tcPr>
            <w:tcW w:w="2832"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27" w:type="dxa"/>
            <w:vAlign w:val="top"/>
          </w:tcPr>
          <w:p/>
        </w:tc>
        <w:tc>
          <w:tcPr>
            <w:tcW w:w="1337" w:type="dxa"/>
            <w:vAlign w:val="top"/>
          </w:tcPr>
          <w:p/>
        </w:tc>
        <w:tc>
          <w:tcPr>
            <w:tcW w:w="1185" w:type="dxa"/>
            <w:vAlign w:val="top"/>
          </w:tcPr>
          <w:p/>
        </w:tc>
        <w:tc>
          <w:tcPr>
            <w:tcW w:w="1299" w:type="dxa"/>
            <w:vAlign w:val="top"/>
          </w:tcPr>
          <w:p/>
        </w:tc>
        <w:tc>
          <w:tcPr>
            <w:tcW w:w="2832"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2027" w:type="dxa"/>
            <w:vAlign w:val="center"/>
          </w:tcPr>
          <w:p>
            <w:pPr>
              <w:jc w:val="center"/>
              <w:rPr>
                <w:rFonts w:eastAsia="宋体"/>
              </w:rPr>
            </w:pPr>
            <w:r>
              <w:rPr>
                <w:rFonts w:hint="eastAsia"/>
              </w:rPr>
              <w:t>合计</w:t>
            </w:r>
          </w:p>
        </w:tc>
        <w:tc>
          <w:tcPr>
            <w:tcW w:w="6653" w:type="dxa"/>
            <w:gridSpan w:val="4"/>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2" w:hRule="atLeast"/>
        </w:trPr>
        <w:tc>
          <w:tcPr>
            <w:tcW w:w="2027" w:type="dxa"/>
            <w:vAlign w:val="center"/>
          </w:tcPr>
          <w:p>
            <w:pPr>
              <w:jc w:val="center"/>
              <w:rPr>
                <w:rFonts w:hint="eastAsia"/>
                <w:lang w:eastAsia="zh-CN"/>
              </w:rPr>
            </w:pPr>
            <w:r>
              <w:rPr>
                <w:rFonts w:hint="eastAsia"/>
              </w:rPr>
              <w:t>村</w:t>
            </w:r>
            <w:r>
              <w:rPr>
                <w:rFonts w:hint="eastAsia"/>
                <w:lang w:eastAsia="zh-CN"/>
              </w:rPr>
              <w:t>集体经济组织</w:t>
            </w:r>
          </w:p>
          <w:p>
            <w:pPr>
              <w:jc w:val="center"/>
            </w:pPr>
            <w:r>
              <w:rPr>
                <w:rFonts w:hint="eastAsia"/>
              </w:rPr>
              <w:t>意见</w:t>
            </w:r>
          </w:p>
          <w:p>
            <w:pPr>
              <w:jc w:val="center"/>
            </w:pPr>
          </w:p>
        </w:tc>
        <w:tc>
          <w:tcPr>
            <w:tcW w:w="6653" w:type="dxa"/>
            <w:gridSpan w:val="4"/>
            <w:vAlign w:val="top"/>
          </w:tcPr>
          <w:p/>
          <w:p/>
          <w:p/>
          <w:p>
            <w:pPr>
              <w:rPr>
                <w:rFonts w:hint="eastAsia" w:eastAsiaTheme="minorEastAsia"/>
                <w:lang w:val="en-US" w:eastAsia="zh-CN"/>
              </w:rPr>
            </w:pPr>
            <w:r>
              <w:rPr>
                <w:rFonts w:hint="eastAsia"/>
                <w:lang w:eastAsia="zh-CN"/>
              </w:rPr>
              <w:t>负责人</w:t>
            </w:r>
            <w:r>
              <w:rPr>
                <w:rFonts w:hint="eastAsia"/>
              </w:rPr>
              <w:t>：（签字）</w:t>
            </w:r>
            <w:r>
              <w:rPr>
                <w:rFonts w:hint="eastAsia"/>
                <w:lang w:val="en-US" w:eastAsia="zh-CN"/>
              </w:rPr>
              <w:t xml:space="preserve">                      （公章）</w:t>
            </w:r>
          </w:p>
          <w:p/>
          <w:p>
            <w:pPr>
              <w:ind w:firstLine="4200" w:firstLineChars="2000"/>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9" w:hRule="atLeast"/>
        </w:trPr>
        <w:tc>
          <w:tcPr>
            <w:tcW w:w="2027" w:type="dxa"/>
            <w:vAlign w:val="center"/>
          </w:tcPr>
          <w:p>
            <w:pPr>
              <w:jc w:val="center"/>
            </w:pPr>
            <w:r>
              <w:rPr>
                <w:rFonts w:hint="eastAsia"/>
              </w:rPr>
              <w:t>村</w:t>
            </w:r>
            <w:r>
              <w:rPr>
                <w:rFonts w:hint="eastAsia"/>
                <w:lang w:eastAsia="zh-CN"/>
              </w:rPr>
              <w:t>清产核资</w:t>
            </w:r>
            <w:r>
              <w:rPr>
                <w:rFonts w:hint="eastAsia"/>
              </w:rPr>
              <w:t>小组</w:t>
            </w:r>
          </w:p>
          <w:p>
            <w:pPr>
              <w:jc w:val="center"/>
            </w:pPr>
            <w:r>
              <w:rPr>
                <w:rFonts w:hint="eastAsia"/>
              </w:rPr>
              <w:t>意见</w:t>
            </w:r>
          </w:p>
        </w:tc>
        <w:tc>
          <w:tcPr>
            <w:tcW w:w="6653" w:type="dxa"/>
            <w:gridSpan w:val="4"/>
            <w:vAlign w:val="top"/>
          </w:tcPr>
          <w:p/>
          <w:p/>
          <w:p/>
          <w:p>
            <w:pPr>
              <w:rPr>
                <w:rFonts w:hint="eastAsia"/>
                <w:lang w:eastAsia="zh-CN"/>
              </w:rPr>
            </w:pPr>
          </w:p>
          <w:p>
            <w:r>
              <w:rPr>
                <w:rFonts w:hint="eastAsia"/>
                <w:lang w:eastAsia="zh-CN"/>
              </w:rPr>
              <w:t>清产核资</w:t>
            </w:r>
            <w:r>
              <w:rPr>
                <w:rFonts w:hint="eastAsia"/>
              </w:rPr>
              <w:t>小组：（签字）</w:t>
            </w:r>
          </w:p>
          <w:p/>
          <w:p>
            <w:pPr>
              <w:ind w:firstLine="4200" w:firstLineChars="2000"/>
            </w:pPr>
            <w:r>
              <w:rPr>
                <w:rFonts w:hint="eastAsia"/>
              </w:rPr>
              <w:t>年   月   日</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3" w:hRule="atLeast"/>
        </w:trPr>
        <w:tc>
          <w:tcPr>
            <w:tcW w:w="2027" w:type="dxa"/>
            <w:vAlign w:val="center"/>
          </w:tcPr>
          <w:p>
            <w:pPr>
              <w:jc w:val="center"/>
              <w:rPr>
                <w:rFonts w:hint="eastAsia"/>
                <w:lang w:eastAsia="zh-CN"/>
              </w:rPr>
            </w:pPr>
            <w:r>
              <w:rPr>
                <w:rFonts w:hint="eastAsia"/>
              </w:rPr>
              <w:t>乡（镇）</w:t>
            </w:r>
            <w:r>
              <w:rPr>
                <w:rFonts w:hint="eastAsia"/>
                <w:lang w:eastAsia="zh-CN"/>
              </w:rPr>
              <w:t>农经机构</w:t>
            </w:r>
          </w:p>
          <w:p>
            <w:pPr>
              <w:jc w:val="center"/>
            </w:pPr>
            <w:r>
              <w:rPr>
                <w:rFonts w:hint="eastAsia"/>
              </w:rPr>
              <w:t>意见</w:t>
            </w:r>
          </w:p>
          <w:p>
            <w:pPr>
              <w:jc w:val="center"/>
            </w:pPr>
          </w:p>
        </w:tc>
        <w:tc>
          <w:tcPr>
            <w:tcW w:w="6653" w:type="dxa"/>
            <w:gridSpan w:val="4"/>
            <w:vAlign w:val="top"/>
          </w:tcPr>
          <w:p/>
          <w:p/>
          <w:p/>
          <w:p>
            <w:pPr>
              <w:rPr>
                <w:rFonts w:hint="eastAsia" w:eastAsiaTheme="minorEastAsia"/>
                <w:lang w:val="en-US" w:eastAsia="zh-CN"/>
              </w:rPr>
            </w:pPr>
            <w:r>
              <w:rPr>
                <w:rFonts w:hint="eastAsia"/>
              </w:rPr>
              <w:t>核实人：（签字）</w:t>
            </w:r>
            <w:r>
              <w:rPr>
                <w:rFonts w:hint="eastAsia"/>
                <w:lang w:val="en-US" w:eastAsia="zh-CN"/>
              </w:rPr>
              <w:t xml:space="preserve">                       （公章）</w:t>
            </w:r>
          </w:p>
          <w:p/>
          <w:p>
            <w:pPr>
              <w:ind w:firstLine="4200" w:firstLineChars="2000"/>
            </w:pPr>
            <w:r>
              <w:rPr>
                <w:rFonts w:hint="eastAsia"/>
              </w:rPr>
              <w:t>年   月   日</w:t>
            </w:r>
          </w:p>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eastAsia="zh-CN"/>
        </w:rPr>
        <w:t>申报单位：</w:t>
      </w:r>
      <w:r>
        <w:rPr>
          <w:rFonts w:hint="eastAsia" w:asciiTheme="majorEastAsia" w:hAnsiTheme="majorEastAsia" w:eastAsiaTheme="majorEastAsia" w:cstheme="majorEastAsia"/>
          <w:sz w:val="32"/>
          <w:szCs w:val="32"/>
          <w:lang w:val="en-US" w:eastAsia="zh-CN"/>
        </w:rPr>
        <w:t xml:space="preserve">                   年  月  日</w:t>
      </w:r>
    </w:p>
    <w:p>
      <w:pPr>
        <w:spacing w:line="600" w:lineRule="exact"/>
        <w:jc w:val="both"/>
        <w:rPr>
          <w:rFonts w:hint="eastAsia" w:asciiTheme="majorEastAsia" w:hAnsiTheme="majorEastAsia" w:eastAsiaTheme="majorEastAsia" w:cstheme="majorEastAsia"/>
          <w:b/>
          <w:bCs/>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color w:val="000000"/>
          <w:sz w:val="44"/>
          <w:szCs w:val="44"/>
          <w:lang w:val="en-US" w:eastAsia="zh-CN"/>
        </w:rPr>
      </w:pPr>
      <w:r>
        <w:rPr>
          <w:rFonts w:hint="eastAsia" w:asciiTheme="majorEastAsia" w:hAnsiTheme="majorEastAsia" w:eastAsiaTheme="majorEastAsia" w:cstheme="majorEastAsia"/>
          <w:b/>
          <w:bCs/>
          <w:color w:val="000000"/>
          <w:sz w:val="44"/>
          <w:szCs w:val="44"/>
          <w:lang w:val="en-US" w:eastAsia="zh-CN"/>
        </w:rPr>
        <w:t>农村集体资产评估程序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农村集体资产评估包括资产估价和价值重估两种，</w:t>
      </w:r>
      <w:r>
        <w:rPr>
          <w:rFonts w:hint="eastAsia" w:ascii="仿宋_GB2312" w:eastAsia="仿宋_GB2312"/>
          <w:sz w:val="32"/>
          <w:szCs w:val="32"/>
        </w:rPr>
        <w:t>集体经济组织所有的未纳入会计核算或无原始凭证的资产应进行</w:t>
      </w:r>
      <w:r>
        <w:rPr>
          <w:rFonts w:hint="eastAsia" w:ascii="仿宋_GB2312" w:eastAsia="仿宋_GB2312"/>
          <w:b/>
          <w:bCs/>
          <w:sz w:val="32"/>
          <w:szCs w:val="32"/>
        </w:rPr>
        <w:t>资产估价</w:t>
      </w:r>
      <w:r>
        <w:rPr>
          <w:rFonts w:hint="eastAsia" w:ascii="仿宋_GB2312" w:eastAsia="仿宋_GB2312"/>
          <w:sz w:val="32"/>
          <w:szCs w:val="32"/>
        </w:rPr>
        <w:t>。集体资产账面价值与实际价值背离较大的应进行</w:t>
      </w:r>
      <w:r>
        <w:rPr>
          <w:rFonts w:hint="eastAsia" w:ascii="仿宋_GB2312" w:eastAsia="仿宋_GB2312"/>
          <w:b/>
          <w:bCs/>
          <w:sz w:val="32"/>
          <w:szCs w:val="32"/>
        </w:rPr>
        <w:t>价值重估</w:t>
      </w:r>
      <w:r>
        <w:rPr>
          <w:rFonts w:hint="eastAsia" w:ascii="仿宋_GB2312" w:eastAsia="仿宋_GB2312"/>
          <w:sz w:val="32"/>
          <w:szCs w:val="32"/>
          <w:lang w:eastAsia="zh-CN"/>
        </w:rPr>
        <w:t>，</w:t>
      </w:r>
      <w:r>
        <w:rPr>
          <w:rFonts w:hint="eastAsia" w:ascii="仿宋_GB2312" w:eastAsia="仿宋_GB2312"/>
          <w:sz w:val="32"/>
          <w:szCs w:val="32"/>
        </w:rPr>
        <w:t>资产价值重估确认价值与原账面净值的差额计入公积公益金。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 w:eastAsia="仿宋_GB2312" w:cs="Times New Roman"/>
          <w:kern w:val="2"/>
          <w:sz w:val="32"/>
          <w:szCs w:val="32"/>
          <w:lang w:val="en-US" w:eastAsia="zh-CN" w:bidi="ar-SA"/>
        </w:rPr>
      </w:pPr>
      <w:r>
        <w:rPr>
          <w:rFonts w:hint="eastAsia" w:ascii="仿宋_GB2312" w:eastAsia="仿宋_GB2312"/>
          <w:sz w:val="32"/>
          <w:szCs w:val="32"/>
          <w:lang w:eastAsia="zh-CN"/>
        </w:rPr>
        <w:t>具体</w:t>
      </w:r>
      <w:r>
        <w:rPr>
          <w:rFonts w:hint="eastAsia" w:ascii="仿宋_GB2312" w:hAnsi="仿宋" w:eastAsia="仿宋_GB2312" w:cs="Times New Roman"/>
          <w:kern w:val="2"/>
          <w:sz w:val="32"/>
          <w:szCs w:val="32"/>
          <w:lang w:val="en-US" w:eastAsia="zh-CN" w:bidi="ar-SA"/>
        </w:rPr>
        <w:t>操作程序如下：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1、召开村村民代表会，讨论决定是否开展资产评估；若开展，可由村“两委”会或者产权改革领导小组提名推荐评估小组成员名单，由大会讨论通过。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2、村集体经济组织交付评估小组所需评估项目清单。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3、评估小组开展评估工作，填写相关表格，出具《资产评估书》。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4、召开村民代表会，通过资产评估报告结果。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5、进行资产评估公示。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6、公示7天无异议后，纪入村集体固定资产账簿。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b/>
          <w:bCs/>
          <w:color w:val="000000"/>
          <w:sz w:val="44"/>
          <w:szCs w:val="44"/>
          <w:lang w:val="en-US" w:eastAsia="zh-CN"/>
        </w:rPr>
      </w:pPr>
    </w:p>
    <w:p>
      <w:pPr>
        <w:spacing w:line="600" w:lineRule="exact"/>
        <w:ind w:firstLine="1767" w:firstLineChars="400"/>
        <w:rPr>
          <w:rFonts w:hint="eastAsia" w:ascii="宋体" w:hAnsi="宋体" w:eastAsia="宋体" w:cs="宋体"/>
          <w:b/>
          <w:bCs/>
          <w:sz w:val="44"/>
          <w:szCs w:val="44"/>
          <w:u w:val="single"/>
          <w:lang w:val="en-US" w:eastAsia="zh-CN"/>
        </w:rPr>
      </w:pPr>
    </w:p>
    <w:p>
      <w:pPr>
        <w:spacing w:line="600" w:lineRule="exact"/>
        <w:ind w:firstLine="1767" w:firstLineChars="400"/>
        <w:rPr>
          <w:rFonts w:hint="eastAsia" w:ascii="宋体" w:hAnsi="宋体" w:eastAsia="宋体" w:cs="宋体"/>
          <w:b/>
          <w:bCs/>
          <w:sz w:val="44"/>
          <w:szCs w:val="44"/>
          <w:u w:val="single"/>
          <w:lang w:val="en-US" w:eastAsia="zh-CN"/>
        </w:rPr>
      </w:pPr>
    </w:p>
    <w:p>
      <w:pPr>
        <w:spacing w:line="600" w:lineRule="exact"/>
        <w:ind w:firstLine="1767" w:firstLineChars="400"/>
        <w:rPr>
          <w:rFonts w:hint="eastAsia" w:ascii="宋体" w:hAnsi="宋体" w:eastAsia="宋体" w:cs="宋体"/>
          <w:b/>
          <w:bCs/>
          <w:sz w:val="44"/>
          <w:szCs w:val="44"/>
          <w:u w:val="single"/>
          <w:lang w:val="en-US" w:eastAsia="zh-CN"/>
        </w:rPr>
      </w:pPr>
    </w:p>
    <w:p>
      <w:pPr>
        <w:spacing w:line="600" w:lineRule="exact"/>
        <w:ind w:firstLine="1767" w:firstLineChars="400"/>
        <w:rPr>
          <w:rFonts w:hint="eastAsia" w:ascii="宋体" w:hAnsi="宋体" w:eastAsia="宋体" w:cs="宋体"/>
          <w:b/>
          <w:bCs/>
          <w:sz w:val="44"/>
          <w:szCs w:val="44"/>
          <w:u w:val="single"/>
          <w:lang w:val="en-US" w:eastAsia="zh-CN"/>
        </w:rPr>
      </w:pPr>
    </w:p>
    <w:p>
      <w:pPr>
        <w:spacing w:line="600" w:lineRule="exact"/>
        <w:ind w:firstLine="1767" w:firstLineChars="400"/>
        <w:rPr>
          <w:rFonts w:hint="eastAsia" w:ascii="宋体" w:hAnsi="宋体" w:eastAsia="宋体" w:cs="宋体"/>
          <w:b/>
          <w:bCs/>
          <w:sz w:val="44"/>
          <w:szCs w:val="44"/>
          <w:u w:val="none"/>
          <w:lang w:val="en-US" w:eastAsia="zh-CN"/>
        </w:rPr>
      </w:pPr>
      <w:r>
        <w:rPr>
          <w:rFonts w:hint="eastAsia" w:ascii="宋体" w:hAnsi="宋体" w:eastAsia="宋体" w:cs="宋体"/>
          <w:b/>
          <w:bCs/>
          <w:sz w:val="44"/>
          <w:szCs w:val="44"/>
          <w:u w:val="single"/>
          <w:lang w:val="en-US" w:eastAsia="zh-CN"/>
        </w:rPr>
        <w:t xml:space="preserve">       </w:t>
      </w:r>
      <w:r>
        <w:rPr>
          <w:rFonts w:hint="eastAsia" w:ascii="宋体" w:hAnsi="宋体" w:eastAsia="宋体" w:cs="宋体"/>
          <w:b/>
          <w:bCs/>
          <w:sz w:val="44"/>
          <w:szCs w:val="44"/>
          <w:u w:val="none"/>
          <w:lang w:val="en-US" w:eastAsia="zh-CN"/>
        </w:rPr>
        <w:t>村集体资产估价表</w:t>
      </w:r>
    </w:p>
    <w:p>
      <w:pPr>
        <w:spacing w:line="600" w:lineRule="exact"/>
        <w:rPr>
          <w:rFonts w:hint="eastAsia" w:ascii="宋体" w:hAnsi="宋体" w:eastAsia="宋体" w:cs="宋体"/>
          <w:b/>
          <w:bCs/>
          <w:sz w:val="21"/>
          <w:szCs w:val="21"/>
          <w:u w:val="none"/>
          <w:lang w:val="en-US" w:eastAsia="zh-CN"/>
        </w:rPr>
      </w:pPr>
    </w:p>
    <w:tbl>
      <w:tblPr>
        <w:tblStyle w:val="10"/>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9"/>
        <w:gridCol w:w="1317"/>
        <w:gridCol w:w="1257"/>
        <w:gridCol w:w="1104"/>
        <w:gridCol w:w="1901"/>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059" w:type="dxa"/>
            <w:vAlign w:val="center"/>
          </w:tcPr>
          <w:p>
            <w:pPr>
              <w:spacing w:line="60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资产名称</w:t>
            </w:r>
          </w:p>
        </w:tc>
        <w:tc>
          <w:tcPr>
            <w:tcW w:w="1317" w:type="dxa"/>
            <w:vAlign w:val="center"/>
          </w:tcPr>
          <w:p>
            <w:pPr>
              <w:spacing w:line="60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资产类型</w:t>
            </w:r>
          </w:p>
        </w:tc>
        <w:tc>
          <w:tcPr>
            <w:tcW w:w="1257" w:type="dxa"/>
            <w:vAlign w:val="center"/>
          </w:tcPr>
          <w:p>
            <w:pPr>
              <w:spacing w:line="60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购置年限</w:t>
            </w:r>
          </w:p>
        </w:tc>
        <w:tc>
          <w:tcPr>
            <w:tcW w:w="1104" w:type="dxa"/>
            <w:vAlign w:val="center"/>
          </w:tcPr>
          <w:p>
            <w:pPr>
              <w:spacing w:line="60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1901" w:type="dxa"/>
            <w:vAlign w:val="center"/>
          </w:tcPr>
          <w:p>
            <w:pPr>
              <w:spacing w:line="60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评估价值（元）</w:t>
            </w:r>
          </w:p>
        </w:tc>
        <w:tc>
          <w:tcPr>
            <w:tcW w:w="1222" w:type="dxa"/>
            <w:vAlign w:val="center"/>
          </w:tcPr>
          <w:p>
            <w:pPr>
              <w:spacing w:line="60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059"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317"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257"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104"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901"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222" w:type="dxa"/>
            <w:vAlign w:val="center"/>
          </w:tcPr>
          <w:p>
            <w:pPr>
              <w:spacing w:line="600" w:lineRule="exact"/>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059"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317"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257"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104"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901"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222" w:type="dxa"/>
            <w:vAlign w:val="center"/>
          </w:tcPr>
          <w:p>
            <w:pPr>
              <w:spacing w:line="600" w:lineRule="exact"/>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059"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317"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257"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104"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901"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222" w:type="dxa"/>
            <w:vAlign w:val="center"/>
          </w:tcPr>
          <w:p>
            <w:pPr>
              <w:spacing w:line="600" w:lineRule="exact"/>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059"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317"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257"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104"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901"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222" w:type="dxa"/>
            <w:vAlign w:val="center"/>
          </w:tcPr>
          <w:p>
            <w:pPr>
              <w:spacing w:line="600" w:lineRule="exact"/>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059"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317"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257"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104"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901"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222" w:type="dxa"/>
            <w:vAlign w:val="center"/>
          </w:tcPr>
          <w:p>
            <w:pPr>
              <w:spacing w:line="600" w:lineRule="exact"/>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059"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317"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257"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104"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901"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222" w:type="dxa"/>
            <w:vAlign w:val="center"/>
          </w:tcPr>
          <w:p>
            <w:pPr>
              <w:spacing w:line="600" w:lineRule="exact"/>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8" w:hRule="atLeast"/>
        </w:trPr>
        <w:tc>
          <w:tcPr>
            <w:tcW w:w="8860" w:type="dxa"/>
            <w:gridSpan w:val="6"/>
            <w:vAlign w:val="top"/>
          </w:tcPr>
          <w:p>
            <w:pPr>
              <w:spacing w:line="600" w:lineRule="exact"/>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村资产评估小组意见：</w:t>
            </w:r>
          </w:p>
          <w:p>
            <w:pPr>
              <w:spacing w:line="600" w:lineRule="exact"/>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村资产评估小组：（签字）                                         </w:t>
            </w:r>
          </w:p>
          <w:p>
            <w:pPr>
              <w:spacing w:line="600" w:lineRule="exact"/>
              <w:ind w:firstLine="6720" w:firstLineChars="280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2" w:hRule="atLeast"/>
        </w:trPr>
        <w:tc>
          <w:tcPr>
            <w:tcW w:w="8860" w:type="dxa"/>
            <w:gridSpan w:val="6"/>
            <w:vAlign w:val="top"/>
          </w:tcPr>
          <w:p>
            <w:pPr>
              <w:jc w:val="both"/>
              <w:rPr>
                <w:rFonts w:hint="eastAsia"/>
                <w:sz w:val="24"/>
                <w:szCs w:val="24"/>
                <w:vertAlign w:val="baseline"/>
                <w:lang w:eastAsia="zh-CN"/>
              </w:rPr>
            </w:pPr>
            <w:r>
              <w:rPr>
                <w:rFonts w:hint="eastAsia"/>
                <w:sz w:val="24"/>
                <w:szCs w:val="24"/>
                <w:vertAlign w:val="baseline"/>
                <w:lang w:eastAsia="zh-CN"/>
              </w:rPr>
              <w:t>村集体经济组织意见：</w:t>
            </w:r>
          </w:p>
          <w:p>
            <w:pPr>
              <w:jc w:val="both"/>
              <w:rPr>
                <w:rFonts w:hint="eastAsia"/>
                <w:sz w:val="24"/>
                <w:szCs w:val="24"/>
                <w:vertAlign w:val="baseline"/>
                <w:lang w:eastAsia="zh-CN"/>
              </w:rPr>
            </w:pPr>
          </w:p>
          <w:p>
            <w:pPr>
              <w:jc w:val="both"/>
              <w:rPr>
                <w:rFonts w:hint="eastAsia"/>
                <w:sz w:val="24"/>
                <w:szCs w:val="24"/>
                <w:vertAlign w:val="baseline"/>
                <w:lang w:val="en-US" w:eastAsia="zh-CN"/>
              </w:rPr>
            </w:pPr>
            <w:r>
              <w:rPr>
                <w:rFonts w:hint="eastAsia"/>
                <w:sz w:val="24"/>
                <w:szCs w:val="24"/>
                <w:vertAlign w:val="baseline"/>
                <w:lang w:val="en-US" w:eastAsia="zh-CN"/>
              </w:rPr>
              <w:t xml:space="preserve">                       （公章）                   负责人:(签字)</w:t>
            </w:r>
          </w:p>
          <w:p>
            <w:pPr>
              <w:jc w:val="both"/>
              <w:rPr>
                <w:rFonts w:hint="eastAsia"/>
                <w:sz w:val="24"/>
                <w:szCs w:val="24"/>
                <w:vertAlign w:val="baseline"/>
                <w:lang w:eastAsia="zh-CN"/>
              </w:rPr>
            </w:pPr>
          </w:p>
          <w:p>
            <w:pPr>
              <w:spacing w:line="600" w:lineRule="exact"/>
              <w:ind w:firstLine="6720" w:firstLineChars="2800"/>
              <w:jc w:val="both"/>
              <w:rPr>
                <w:rFonts w:hint="eastAsia" w:ascii="宋体" w:hAnsi="宋体" w:eastAsia="宋体" w:cs="宋体"/>
                <w:sz w:val="24"/>
                <w:szCs w:val="24"/>
                <w:vertAlign w:val="baseline"/>
                <w:lang w:val="en-US" w:eastAsia="zh-CN"/>
              </w:rPr>
            </w:pPr>
            <w:r>
              <w:rPr>
                <w:rFonts w:hint="eastAsia"/>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6" w:hRule="atLeast"/>
        </w:trPr>
        <w:tc>
          <w:tcPr>
            <w:tcW w:w="8860" w:type="dxa"/>
            <w:gridSpan w:val="6"/>
            <w:vAlign w:val="top"/>
          </w:tcPr>
          <w:p>
            <w:pPr>
              <w:spacing w:line="600" w:lineRule="exact"/>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乡（镇）农经机构意见：</w:t>
            </w:r>
          </w:p>
          <w:p>
            <w:pPr>
              <w:spacing w:line="600" w:lineRule="exact"/>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w:t>
            </w:r>
            <w:r>
              <w:rPr>
                <w:rFonts w:hint="eastAsia"/>
                <w:sz w:val="24"/>
                <w:szCs w:val="24"/>
                <w:vertAlign w:val="baseline"/>
                <w:lang w:val="en-US" w:eastAsia="zh-CN"/>
              </w:rPr>
              <w:t>（公章）</w:t>
            </w:r>
            <w:r>
              <w:rPr>
                <w:rFonts w:hint="eastAsia" w:ascii="宋体" w:hAnsi="宋体" w:eastAsia="宋体" w:cs="宋体"/>
                <w:sz w:val="24"/>
                <w:szCs w:val="24"/>
                <w:vertAlign w:val="baseline"/>
                <w:lang w:val="en-US" w:eastAsia="zh-CN"/>
              </w:rPr>
              <w:t xml:space="preserve">                   负责人：（签字）</w:t>
            </w:r>
          </w:p>
          <w:p>
            <w:pPr>
              <w:spacing w:line="600" w:lineRule="exact"/>
              <w:ind w:firstLine="6720" w:firstLineChars="280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年  月 日</w:t>
            </w:r>
          </w:p>
        </w:tc>
      </w:tr>
    </w:tbl>
    <w:p>
      <w:pPr>
        <w:spacing w:line="600" w:lineRule="exact"/>
        <w:ind w:firstLine="883" w:firstLineChars="200"/>
        <w:rPr>
          <w:rFonts w:hint="eastAsia" w:ascii="宋体" w:hAnsi="宋体" w:eastAsia="宋体" w:cs="宋体"/>
          <w:b/>
          <w:bCs/>
          <w:sz w:val="44"/>
          <w:szCs w:val="44"/>
          <w:u w:val="none"/>
          <w:lang w:val="en-US" w:eastAsia="zh-CN"/>
        </w:rPr>
      </w:pPr>
      <w:r>
        <w:rPr>
          <w:rFonts w:hint="eastAsia" w:ascii="宋体" w:hAnsi="宋体" w:eastAsia="宋体" w:cs="宋体"/>
          <w:b/>
          <w:bCs/>
          <w:sz w:val="44"/>
          <w:szCs w:val="44"/>
          <w:u w:val="single"/>
          <w:lang w:val="en-US" w:eastAsia="zh-CN"/>
        </w:rPr>
        <w:t xml:space="preserve">       </w:t>
      </w:r>
      <w:r>
        <w:rPr>
          <w:rFonts w:hint="eastAsia" w:ascii="宋体" w:hAnsi="宋体" w:eastAsia="宋体" w:cs="宋体"/>
          <w:b/>
          <w:bCs/>
          <w:sz w:val="44"/>
          <w:szCs w:val="44"/>
          <w:u w:val="none"/>
          <w:lang w:val="en-US" w:eastAsia="zh-CN"/>
        </w:rPr>
        <w:t>村集体资产价值重估表</w:t>
      </w:r>
    </w:p>
    <w:p>
      <w:pPr>
        <w:spacing w:line="600" w:lineRule="exact"/>
        <w:rPr>
          <w:rFonts w:hint="eastAsia" w:ascii="宋体" w:hAnsi="宋体" w:eastAsia="宋体" w:cs="宋体"/>
          <w:b/>
          <w:bCs/>
          <w:sz w:val="21"/>
          <w:szCs w:val="21"/>
          <w:u w:val="none"/>
          <w:lang w:val="en-US" w:eastAsia="zh-CN"/>
        </w:rPr>
      </w:pPr>
    </w:p>
    <w:tbl>
      <w:tblPr>
        <w:tblStyle w:val="10"/>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549"/>
        <w:gridCol w:w="1829"/>
        <w:gridCol w:w="1555"/>
        <w:gridCol w:w="1433"/>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196" w:type="dxa"/>
            <w:vAlign w:val="center"/>
          </w:tcPr>
          <w:p>
            <w:pPr>
              <w:spacing w:line="60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资产名称</w:t>
            </w:r>
          </w:p>
        </w:tc>
        <w:tc>
          <w:tcPr>
            <w:tcW w:w="1549"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829" w:type="dxa"/>
            <w:vAlign w:val="center"/>
          </w:tcPr>
          <w:p>
            <w:pPr>
              <w:spacing w:line="60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资产类型</w:t>
            </w:r>
          </w:p>
        </w:tc>
        <w:tc>
          <w:tcPr>
            <w:tcW w:w="1555"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433" w:type="dxa"/>
            <w:vAlign w:val="center"/>
          </w:tcPr>
          <w:p>
            <w:pPr>
              <w:spacing w:line="60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1218" w:type="dxa"/>
            <w:vAlign w:val="center"/>
          </w:tcPr>
          <w:p>
            <w:pPr>
              <w:spacing w:line="600" w:lineRule="exact"/>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196" w:type="dxa"/>
            <w:vAlign w:val="center"/>
          </w:tcPr>
          <w:p>
            <w:pPr>
              <w:spacing w:line="60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购置年限</w:t>
            </w:r>
          </w:p>
        </w:tc>
        <w:tc>
          <w:tcPr>
            <w:tcW w:w="1549"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829" w:type="dxa"/>
            <w:vAlign w:val="center"/>
          </w:tcPr>
          <w:p>
            <w:pPr>
              <w:spacing w:line="60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原始价值</w:t>
            </w:r>
          </w:p>
        </w:tc>
        <w:tc>
          <w:tcPr>
            <w:tcW w:w="1555"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433" w:type="dxa"/>
            <w:vAlign w:val="center"/>
          </w:tcPr>
          <w:p>
            <w:pPr>
              <w:spacing w:line="60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入账时间</w:t>
            </w:r>
          </w:p>
        </w:tc>
        <w:tc>
          <w:tcPr>
            <w:tcW w:w="1218" w:type="dxa"/>
            <w:vAlign w:val="center"/>
          </w:tcPr>
          <w:p>
            <w:pPr>
              <w:spacing w:line="600" w:lineRule="exact"/>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trPr>
        <w:tc>
          <w:tcPr>
            <w:tcW w:w="1196" w:type="dxa"/>
            <w:vAlign w:val="center"/>
          </w:tcPr>
          <w:p>
            <w:pPr>
              <w:spacing w:line="60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入账原值</w:t>
            </w:r>
          </w:p>
        </w:tc>
        <w:tc>
          <w:tcPr>
            <w:tcW w:w="1549"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829" w:type="dxa"/>
            <w:vAlign w:val="center"/>
          </w:tcPr>
          <w:p>
            <w:pPr>
              <w:spacing w:line="600" w:lineRule="exact"/>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累计折旧</w:t>
            </w:r>
          </w:p>
          <w:p>
            <w:pPr>
              <w:spacing w:line="60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1"/>
                <w:szCs w:val="21"/>
                <w:vertAlign w:val="baseline"/>
                <w:lang w:val="en-US" w:eastAsia="zh-CN"/>
              </w:rPr>
              <w:t>金额（元）</w:t>
            </w:r>
          </w:p>
        </w:tc>
        <w:tc>
          <w:tcPr>
            <w:tcW w:w="1555"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433" w:type="dxa"/>
            <w:vAlign w:val="center"/>
          </w:tcPr>
          <w:p>
            <w:pPr>
              <w:spacing w:line="600" w:lineRule="exact"/>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账面资产</w:t>
            </w:r>
          </w:p>
          <w:p>
            <w:pPr>
              <w:spacing w:line="600" w:lineRule="exact"/>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净值（元）</w:t>
            </w:r>
          </w:p>
        </w:tc>
        <w:tc>
          <w:tcPr>
            <w:tcW w:w="1218" w:type="dxa"/>
            <w:vAlign w:val="center"/>
          </w:tcPr>
          <w:p>
            <w:pPr>
              <w:spacing w:line="600" w:lineRule="exact"/>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196" w:type="dxa"/>
            <w:vMerge w:val="restart"/>
            <w:vAlign w:val="center"/>
          </w:tcPr>
          <w:p>
            <w:pPr>
              <w:spacing w:line="60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采用</w:t>
            </w:r>
          </w:p>
          <w:p>
            <w:pPr>
              <w:spacing w:line="60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评价</w:t>
            </w:r>
          </w:p>
          <w:p>
            <w:pPr>
              <w:spacing w:line="60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方式</w:t>
            </w:r>
          </w:p>
        </w:tc>
        <w:tc>
          <w:tcPr>
            <w:tcW w:w="1549" w:type="dxa"/>
            <w:vAlign w:val="center"/>
          </w:tcPr>
          <w:p>
            <w:pPr>
              <w:spacing w:line="600" w:lineRule="exact"/>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重置成本法</w:t>
            </w:r>
          </w:p>
        </w:tc>
        <w:tc>
          <w:tcPr>
            <w:tcW w:w="1829" w:type="dxa"/>
            <w:vAlign w:val="center"/>
          </w:tcPr>
          <w:p>
            <w:pPr>
              <w:spacing w:line="600" w:lineRule="exact"/>
              <w:jc w:val="center"/>
              <w:rPr>
                <w:rFonts w:hint="eastAsia" w:ascii="宋体" w:hAnsi="宋体" w:eastAsia="宋体" w:cs="宋体"/>
                <w:sz w:val="24"/>
                <w:szCs w:val="24"/>
                <w:vertAlign w:val="baseline"/>
                <w:lang w:val="en-US" w:eastAsia="zh-CN"/>
              </w:rPr>
            </w:pPr>
          </w:p>
        </w:tc>
        <w:tc>
          <w:tcPr>
            <w:tcW w:w="1555" w:type="dxa"/>
            <w:vMerge w:val="restart"/>
            <w:vAlign w:val="center"/>
          </w:tcPr>
          <w:p>
            <w:pPr>
              <w:spacing w:line="60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重估</w:t>
            </w:r>
          </w:p>
          <w:p>
            <w:pPr>
              <w:spacing w:line="60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价值</w:t>
            </w:r>
          </w:p>
          <w:p>
            <w:pPr>
              <w:spacing w:line="60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（元）</w:t>
            </w:r>
          </w:p>
        </w:tc>
        <w:tc>
          <w:tcPr>
            <w:tcW w:w="2651" w:type="dxa"/>
            <w:gridSpan w:val="2"/>
            <w:vMerge w:val="restart"/>
            <w:vAlign w:val="center"/>
          </w:tcPr>
          <w:p>
            <w:pPr>
              <w:spacing w:line="600" w:lineRule="exact"/>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196" w:type="dxa"/>
            <w:vMerge w:val="continue"/>
            <w:vAlign w:val="top"/>
          </w:tcPr>
          <w:p>
            <w:pPr>
              <w:spacing w:line="600" w:lineRule="exact"/>
              <w:jc w:val="both"/>
              <w:rPr>
                <w:rFonts w:hint="eastAsia" w:ascii="宋体" w:hAnsi="宋体" w:eastAsia="宋体" w:cs="宋体"/>
                <w:sz w:val="24"/>
                <w:szCs w:val="24"/>
                <w:vertAlign w:val="baseline"/>
                <w:lang w:val="en-US" w:eastAsia="zh-CN"/>
              </w:rPr>
            </w:pPr>
          </w:p>
        </w:tc>
        <w:tc>
          <w:tcPr>
            <w:tcW w:w="1549" w:type="dxa"/>
            <w:vAlign w:val="top"/>
          </w:tcPr>
          <w:p>
            <w:pPr>
              <w:spacing w:line="600" w:lineRule="exact"/>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现行市价法</w:t>
            </w:r>
          </w:p>
        </w:tc>
        <w:tc>
          <w:tcPr>
            <w:tcW w:w="1829" w:type="dxa"/>
            <w:vAlign w:val="top"/>
          </w:tcPr>
          <w:p>
            <w:pPr>
              <w:spacing w:line="600" w:lineRule="exact"/>
              <w:jc w:val="both"/>
              <w:rPr>
                <w:rFonts w:hint="eastAsia" w:ascii="宋体" w:hAnsi="宋体" w:eastAsia="宋体" w:cs="宋体"/>
                <w:sz w:val="24"/>
                <w:szCs w:val="24"/>
                <w:vertAlign w:val="baseline"/>
                <w:lang w:val="en-US" w:eastAsia="zh-CN"/>
              </w:rPr>
            </w:pPr>
          </w:p>
        </w:tc>
        <w:tc>
          <w:tcPr>
            <w:tcW w:w="1555" w:type="dxa"/>
            <w:vMerge w:val="continue"/>
            <w:vAlign w:val="top"/>
          </w:tcPr>
          <w:p>
            <w:pPr>
              <w:spacing w:line="600" w:lineRule="exact"/>
              <w:jc w:val="both"/>
              <w:rPr>
                <w:rFonts w:hint="eastAsia" w:ascii="宋体" w:hAnsi="宋体" w:eastAsia="宋体" w:cs="宋体"/>
                <w:sz w:val="24"/>
                <w:szCs w:val="24"/>
                <w:vertAlign w:val="baseline"/>
                <w:lang w:val="en-US" w:eastAsia="zh-CN"/>
              </w:rPr>
            </w:pPr>
          </w:p>
        </w:tc>
        <w:tc>
          <w:tcPr>
            <w:tcW w:w="2651" w:type="dxa"/>
            <w:gridSpan w:val="2"/>
            <w:vMerge w:val="continue"/>
            <w:vAlign w:val="top"/>
          </w:tcPr>
          <w:p>
            <w:pPr>
              <w:spacing w:line="600" w:lineRule="exact"/>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196" w:type="dxa"/>
            <w:vMerge w:val="continue"/>
            <w:vAlign w:val="top"/>
          </w:tcPr>
          <w:p>
            <w:pPr>
              <w:spacing w:line="600" w:lineRule="exact"/>
              <w:jc w:val="both"/>
              <w:rPr>
                <w:rFonts w:hint="eastAsia" w:ascii="宋体" w:hAnsi="宋体" w:eastAsia="宋体" w:cs="宋体"/>
                <w:sz w:val="24"/>
                <w:szCs w:val="24"/>
                <w:vertAlign w:val="baseline"/>
                <w:lang w:val="en-US" w:eastAsia="zh-CN"/>
              </w:rPr>
            </w:pPr>
          </w:p>
        </w:tc>
        <w:tc>
          <w:tcPr>
            <w:tcW w:w="1549" w:type="dxa"/>
            <w:vAlign w:val="top"/>
          </w:tcPr>
          <w:p>
            <w:pPr>
              <w:spacing w:line="600" w:lineRule="exact"/>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收益现值法</w:t>
            </w:r>
          </w:p>
        </w:tc>
        <w:tc>
          <w:tcPr>
            <w:tcW w:w="1829" w:type="dxa"/>
            <w:vAlign w:val="top"/>
          </w:tcPr>
          <w:p>
            <w:pPr>
              <w:spacing w:line="600" w:lineRule="exact"/>
              <w:jc w:val="both"/>
              <w:rPr>
                <w:rFonts w:hint="eastAsia" w:ascii="宋体" w:hAnsi="宋体" w:eastAsia="宋体" w:cs="宋体"/>
                <w:sz w:val="24"/>
                <w:szCs w:val="24"/>
                <w:vertAlign w:val="baseline"/>
                <w:lang w:val="en-US" w:eastAsia="zh-CN"/>
              </w:rPr>
            </w:pPr>
          </w:p>
        </w:tc>
        <w:tc>
          <w:tcPr>
            <w:tcW w:w="1555" w:type="dxa"/>
            <w:vMerge w:val="continue"/>
            <w:vAlign w:val="top"/>
          </w:tcPr>
          <w:p>
            <w:pPr>
              <w:spacing w:line="600" w:lineRule="exact"/>
              <w:jc w:val="both"/>
              <w:rPr>
                <w:rFonts w:hint="eastAsia" w:ascii="宋体" w:hAnsi="宋体" w:eastAsia="宋体" w:cs="宋体"/>
                <w:sz w:val="24"/>
                <w:szCs w:val="24"/>
                <w:vertAlign w:val="baseline"/>
                <w:lang w:val="en-US" w:eastAsia="zh-CN"/>
              </w:rPr>
            </w:pPr>
          </w:p>
        </w:tc>
        <w:tc>
          <w:tcPr>
            <w:tcW w:w="2651" w:type="dxa"/>
            <w:gridSpan w:val="2"/>
            <w:vMerge w:val="continue"/>
            <w:vAlign w:val="top"/>
          </w:tcPr>
          <w:p>
            <w:pPr>
              <w:spacing w:line="600" w:lineRule="exact"/>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196" w:type="dxa"/>
            <w:vMerge w:val="continue"/>
            <w:vAlign w:val="top"/>
          </w:tcPr>
          <w:p>
            <w:pPr>
              <w:spacing w:line="600" w:lineRule="exact"/>
              <w:jc w:val="both"/>
              <w:rPr>
                <w:rFonts w:hint="eastAsia" w:ascii="宋体" w:hAnsi="宋体" w:eastAsia="宋体" w:cs="宋体"/>
                <w:sz w:val="24"/>
                <w:szCs w:val="24"/>
                <w:vertAlign w:val="baseline"/>
                <w:lang w:val="en-US" w:eastAsia="zh-CN"/>
              </w:rPr>
            </w:pPr>
          </w:p>
        </w:tc>
        <w:tc>
          <w:tcPr>
            <w:tcW w:w="1549" w:type="dxa"/>
            <w:vAlign w:val="top"/>
          </w:tcPr>
          <w:p>
            <w:pPr>
              <w:spacing w:line="600" w:lineRule="exact"/>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清算价格法</w:t>
            </w:r>
          </w:p>
        </w:tc>
        <w:tc>
          <w:tcPr>
            <w:tcW w:w="1829" w:type="dxa"/>
            <w:vAlign w:val="top"/>
          </w:tcPr>
          <w:p>
            <w:pPr>
              <w:spacing w:line="600" w:lineRule="exact"/>
              <w:jc w:val="both"/>
              <w:rPr>
                <w:rFonts w:hint="eastAsia" w:ascii="宋体" w:hAnsi="宋体" w:eastAsia="宋体" w:cs="宋体"/>
                <w:sz w:val="24"/>
                <w:szCs w:val="24"/>
                <w:vertAlign w:val="baseline"/>
                <w:lang w:val="en-US" w:eastAsia="zh-CN"/>
              </w:rPr>
            </w:pPr>
          </w:p>
        </w:tc>
        <w:tc>
          <w:tcPr>
            <w:tcW w:w="1555" w:type="dxa"/>
            <w:vMerge w:val="continue"/>
            <w:vAlign w:val="top"/>
          </w:tcPr>
          <w:p>
            <w:pPr>
              <w:spacing w:line="600" w:lineRule="exact"/>
              <w:jc w:val="both"/>
              <w:rPr>
                <w:rFonts w:hint="eastAsia" w:ascii="宋体" w:hAnsi="宋体" w:eastAsia="宋体" w:cs="宋体"/>
                <w:sz w:val="24"/>
                <w:szCs w:val="24"/>
                <w:vertAlign w:val="baseline"/>
                <w:lang w:val="en-US" w:eastAsia="zh-CN"/>
              </w:rPr>
            </w:pPr>
          </w:p>
        </w:tc>
        <w:tc>
          <w:tcPr>
            <w:tcW w:w="2651" w:type="dxa"/>
            <w:gridSpan w:val="2"/>
            <w:vMerge w:val="continue"/>
            <w:vAlign w:val="top"/>
          </w:tcPr>
          <w:p>
            <w:pPr>
              <w:spacing w:line="600" w:lineRule="exact"/>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4" w:hRule="atLeast"/>
        </w:trPr>
        <w:tc>
          <w:tcPr>
            <w:tcW w:w="8780" w:type="dxa"/>
            <w:gridSpan w:val="6"/>
            <w:vAlign w:val="top"/>
          </w:tcPr>
          <w:p>
            <w:pPr>
              <w:spacing w:line="600" w:lineRule="exact"/>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村资产评估小组意见：</w:t>
            </w:r>
          </w:p>
          <w:p>
            <w:pPr>
              <w:spacing w:line="600" w:lineRule="exact"/>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村资产评估小组成员：（签字）                                         </w:t>
            </w:r>
          </w:p>
          <w:p>
            <w:pPr>
              <w:spacing w:line="600" w:lineRule="exact"/>
              <w:ind w:firstLine="6240" w:firstLineChars="260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8" w:hRule="atLeast"/>
        </w:trPr>
        <w:tc>
          <w:tcPr>
            <w:tcW w:w="8780" w:type="dxa"/>
            <w:gridSpan w:val="6"/>
            <w:vAlign w:val="top"/>
          </w:tcPr>
          <w:p>
            <w:pPr>
              <w:spacing w:line="600" w:lineRule="exact"/>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村</w:t>
            </w:r>
            <w:r>
              <w:rPr>
                <w:rFonts w:hint="eastAsia" w:ascii="宋体" w:hAnsi="宋体" w:cs="宋体"/>
                <w:sz w:val="24"/>
                <w:szCs w:val="24"/>
                <w:vertAlign w:val="baseline"/>
                <w:lang w:val="en-US" w:eastAsia="zh-CN"/>
              </w:rPr>
              <w:t>集体经济组织</w:t>
            </w:r>
            <w:r>
              <w:rPr>
                <w:rFonts w:hint="eastAsia" w:ascii="宋体" w:hAnsi="宋体" w:eastAsia="宋体" w:cs="宋体"/>
                <w:sz w:val="24"/>
                <w:szCs w:val="24"/>
                <w:vertAlign w:val="baseline"/>
                <w:lang w:val="en-US" w:eastAsia="zh-CN"/>
              </w:rPr>
              <w:t>意见：</w:t>
            </w:r>
          </w:p>
          <w:p>
            <w:pPr>
              <w:spacing w:line="600" w:lineRule="exact"/>
              <w:ind w:firstLine="2400" w:firstLineChars="1000"/>
              <w:jc w:val="both"/>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（公章）                        负责人</w:t>
            </w:r>
            <w:r>
              <w:rPr>
                <w:rFonts w:hint="eastAsia" w:ascii="宋体" w:hAnsi="宋体" w:eastAsia="宋体" w:cs="宋体"/>
                <w:sz w:val="24"/>
                <w:szCs w:val="24"/>
                <w:vertAlign w:val="baseline"/>
                <w:lang w:val="en-US" w:eastAsia="zh-CN"/>
              </w:rPr>
              <w:t xml:space="preserve">：（签字）                                         </w:t>
            </w:r>
          </w:p>
          <w:p>
            <w:pPr>
              <w:spacing w:line="600" w:lineRule="exact"/>
              <w:ind w:firstLine="6720" w:firstLineChars="280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7" w:hRule="atLeast"/>
        </w:trPr>
        <w:tc>
          <w:tcPr>
            <w:tcW w:w="8780" w:type="dxa"/>
            <w:gridSpan w:val="6"/>
            <w:vAlign w:val="top"/>
          </w:tcPr>
          <w:p>
            <w:pPr>
              <w:spacing w:line="600" w:lineRule="exact"/>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乡</w:t>
            </w:r>
            <w:r>
              <w:rPr>
                <w:rFonts w:hint="eastAsia" w:ascii="宋体" w:hAnsi="宋体" w:cs="宋体"/>
                <w:sz w:val="24"/>
                <w:szCs w:val="24"/>
                <w:vertAlign w:val="baseline"/>
                <w:lang w:val="en-US" w:eastAsia="zh-CN"/>
              </w:rPr>
              <w:t>（</w:t>
            </w:r>
            <w:r>
              <w:rPr>
                <w:rFonts w:hint="eastAsia" w:ascii="宋体" w:hAnsi="宋体" w:eastAsia="宋体" w:cs="宋体"/>
                <w:sz w:val="24"/>
                <w:szCs w:val="24"/>
                <w:vertAlign w:val="baseline"/>
                <w:lang w:val="en-US" w:eastAsia="zh-CN"/>
              </w:rPr>
              <w:t>镇</w:t>
            </w:r>
            <w:r>
              <w:rPr>
                <w:rFonts w:hint="eastAsia" w:ascii="宋体" w:hAnsi="宋体" w:cs="宋体"/>
                <w:sz w:val="24"/>
                <w:szCs w:val="24"/>
                <w:vertAlign w:val="baseline"/>
                <w:lang w:val="en-US" w:eastAsia="zh-CN"/>
              </w:rPr>
              <w:t>）</w:t>
            </w:r>
            <w:r>
              <w:rPr>
                <w:rFonts w:hint="eastAsia" w:ascii="宋体" w:hAnsi="宋体" w:eastAsia="宋体" w:cs="宋体"/>
                <w:sz w:val="24"/>
                <w:szCs w:val="24"/>
                <w:vertAlign w:val="baseline"/>
                <w:lang w:val="en-US" w:eastAsia="zh-CN"/>
              </w:rPr>
              <w:t>农经机构意见：</w:t>
            </w:r>
          </w:p>
          <w:p>
            <w:pPr>
              <w:spacing w:line="600" w:lineRule="exact"/>
              <w:ind w:firstLine="2400" w:firstLineChars="1000"/>
              <w:jc w:val="both"/>
              <w:rPr>
                <w:rFonts w:hint="eastAsia" w:ascii="宋体" w:hAnsi="宋体" w:eastAsia="宋体" w:cs="宋体"/>
                <w:sz w:val="24"/>
                <w:szCs w:val="24"/>
                <w:vertAlign w:val="baseline"/>
                <w:lang w:val="en-US" w:eastAsia="zh-CN"/>
              </w:rPr>
            </w:pPr>
            <w:r>
              <w:rPr>
                <w:rFonts w:hint="eastAsia"/>
                <w:sz w:val="24"/>
                <w:szCs w:val="24"/>
                <w:vertAlign w:val="baseline"/>
                <w:lang w:val="en-US" w:eastAsia="zh-CN"/>
              </w:rPr>
              <w:t>（公章）                         负责人:(签字)</w:t>
            </w:r>
          </w:p>
          <w:p>
            <w:pPr>
              <w:spacing w:line="600" w:lineRule="exact"/>
              <w:ind w:firstLine="6720" w:firstLineChars="280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年  月 日</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Theme="majorEastAsia" w:hAnsiTheme="majorEastAsia" w:eastAsiaTheme="majorEastAsia" w:cstheme="majorEastAsia"/>
          <w:b/>
          <w:sz w:val="44"/>
          <w:szCs w:val="44"/>
          <w:u w:val="double"/>
        </w:rPr>
      </w:pPr>
      <w:r>
        <w:rPr>
          <w:rFonts w:hint="eastAsia" w:asciiTheme="majorEastAsia" w:hAnsiTheme="majorEastAsia" w:eastAsiaTheme="majorEastAsia" w:cstheme="majorEastAsia"/>
          <w:b/>
          <w:sz w:val="44"/>
          <w:szCs w:val="44"/>
          <w:u w:val="none"/>
        </w:rPr>
        <w:t>资产评估报告书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right"/>
        <w:textAlignment w:val="auto"/>
        <w:outlineLvl w:val="9"/>
        <w:rPr>
          <w:rFonts w:hint="eastAsia" w:ascii="楷体" w:hAnsi="楷体" w:eastAsia="楷体"/>
          <w:sz w:val="24"/>
        </w:rPr>
      </w:pPr>
      <w:r>
        <w:rPr>
          <w:rFonts w:hint="eastAsia" w:ascii="楷体" w:hAnsi="楷体" w:eastAsia="楷体"/>
          <w:sz w:val="24"/>
        </w:rPr>
        <w:t>201</w:t>
      </w:r>
      <w:r>
        <w:rPr>
          <w:rFonts w:hint="eastAsia" w:ascii="楷体" w:hAnsi="楷体" w:eastAsia="楷体"/>
          <w:sz w:val="24"/>
          <w:lang w:val="en-US" w:eastAsia="zh-CN"/>
        </w:rPr>
        <w:t xml:space="preserve"> </w:t>
      </w:r>
      <w:r>
        <w:rPr>
          <w:rFonts w:hint="eastAsia" w:ascii="楷体" w:hAnsi="楷体" w:eastAsia="楷体"/>
          <w:sz w:val="24"/>
        </w:rPr>
        <w:t>第___号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一、绪言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接受</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村民委员会的委托，根据相关资产评估的规定，本着独立、客观、公正、科学的原则，按照公认的资产评估方法，为满足委托方量化其所持有资产之目的，而进行了评估工作。评估人员按照必要的评估程序对委托资产实施了实地查勘、市场调查与询证，对委估资产所表现的市场价值作出了公允反映。现将资产评估情况及评估结果报告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二、委托方（产权持有者）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村民委员会；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法人代表：</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三、评估目的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本次评估目的是为委托方所持有资产提供价值参考依据。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四、评估对象和评估范围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本次评估对象和范围为委托方截止于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日的、村民代表会议议定的固定资产项目，具体范围以委托方提供的“资产负债表”和“资产清查评估明细表”为准。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五、评估依据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1、财政部财企[2004]20号“关于印发《资产评估准则——基本准则》的通知”；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2、《中华人民共和国土地法》；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3、其他相关法律法规。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4、委托方(产权持有者)的机构代码证复印件；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5、委托方填写、申报的资产清查评估申报表；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6、评估人员通过市场调查和询价取得的委估资产所在地价格信息资料；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7、通过市场调查以及查阅相关书刊资料和网站等途径获取的相关评估依据等。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8、其他相关资料。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lang w:eastAsia="zh-CN"/>
        </w:rPr>
        <w:t>六</w:t>
      </w:r>
      <w:r>
        <w:rPr>
          <w:rFonts w:hint="eastAsia" w:ascii="黑体" w:hAnsi="黑体" w:eastAsia="黑体" w:cs="黑体"/>
          <w:b/>
          <w:sz w:val="32"/>
          <w:szCs w:val="32"/>
        </w:rPr>
        <w:t>、评估方法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根据资产评估的有关法规，遵循独立、客观、公正和科学的原则及其他一般公认的评估原则，我们对委托方固定资产评估时主要采用重置成本法□、现行市价法□进行评估;资源性资产评估时主要采用现行市价法□、收益现值法□进行评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lang w:eastAsia="zh-CN"/>
        </w:rPr>
        <w:t>七</w:t>
      </w:r>
      <w:r>
        <w:rPr>
          <w:rFonts w:hint="eastAsia" w:ascii="黑体" w:hAnsi="黑体" w:eastAsia="黑体" w:cs="黑体"/>
          <w:b/>
          <w:sz w:val="32"/>
          <w:szCs w:val="32"/>
        </w:rPr>
        <w:t>、评估结论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在实施了上述资产评估程序和方法后，截止评估基准日，在此经济组织持续经营前提下，以委托方提供的资产评估呈报表（详见资产评估表）为依据；资产</w:t>
      </w:r>
      <w:r>
        <w:rPr>
          <w:rFonts w:hint="eastAsia" w:ascii="仿宋_GB2312" w:hAnsi="仿宋_GB2312" w:eastAsia="仿宋_GB2312" w:cs="仿宋_GB2312"/>
          <w:sz w:val="32"/>
          <w:szCs w:val="32"/>
          <w:lang w:eastAsia="zh-CN"/>
        </w:rPr>
        <w:t>评估小组</w:t>
      </w:r>
      <w:r>
        <w:rPr>
          <w:rFonts w:hint="eastAsia" w:ascii="仿宋_GB2312" w:hAnsi="仿宋_GB2312" w:eastAsia="仿宋_GB2312" w:cs="仿宋_GB2312"/>
          <w:sz w:val="32"/>
          <w:szCs w:val="32"/>
        </w:rPr>
        <w:t>部门对该村资产评估总额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元，其中经营性资产</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非经营</w:t>
      </w:r>
      <w:r>
        <w:rPr>
          <w:rFonts w:hint="eastAsia" w:ascii="仿宋_GB2312" w:hAnsi="仿宋_GB2312" w:eastAsia="仿宋_GB2312" w:cs="仿宋_GB2312"/>
          <w:sz w:val="32"/>
          <w:szCs w:val="32"/>
        </w:rPr>
        <w:t>性资产</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元，具体见附件明细表。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w:t>
      </w:r>
      <w:r>
        <w:rPr>
          <w:rFonts w:hint="eastAsia" w:ascii="黑体" w:hAnsi="黑体" w:eastAsia="黑体" w:cs="黑体"/>
          <w:b/>
          <w:sz w:val="32"/>
          <w:szCs w:val="32"/>
        </w:rPr>
        <w:t>特别事项说明</w:t>
      </w:r>
      <w:r>
        <w:rPr>
          <w:rFonts w:hint="eastAsia" w:ascii="黑体" w:hAnsi="黑体" w:eastAsia="黑体" w:cs="黑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1、由于评估基准日后资产数量、价格标准的变化，委托方在资产实际作价时应给予充分考虑，并进行相应调整。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2、本评估报告只能用于评估报告中载明的评估目的和用途,不得另作他用。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3、本评估报告只能由评估报告载明的委托方和政府监管部门者使用。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4、本资产评估报告有效期为自评估基准日至经济行为实现日一年内有效。如市场条件或资产状况已发生重大变化，评估报告的结论不能反映经济行为实现日价值，该评估结论失效。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lang w:eastAsia="zh-CN"/>
        </w:rPr>
        <w:t>九</w:t>
      </w:r>
      <w:r>
        <w:rPr>
          <w:rFonts w:hint="eastAsia" w:ascii="黑体" w:hAnsi="黑体" w:eastAsia="黑体" w:cs="黑体"/>
          <w:b/>
          <w:sz w:val="32"/>
          <w:szCs w:val="32"/>
        </w:rPr>
        <w:t>、评估报告日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本评估报告提出日期为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谨此报告！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评估人：</w:t>
      </w:r>
      <w:r>
        <w:rPr>
          <w:rFonts w:hint="eastAsia" w:ascii="仿宋_GB2312" w:hAnsi="仿宋_GB2312" w:eastAsia="仿宋_GB2312" w:cs="仿宋_GB2312"/>
          <w:sz w:val="32"/>
          <w:szCs w:val="32"/>
          <w:u w:val="none"/>
          <w:lang w:eastAsia="zh-CN"/>
        </w:rPr>
        <w:t>（签字）</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1920" w:firstLineChars="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2880" w:firstLineChars="900"/>
        <w:textAlignment w:val="auto"/>
        <w:outlineLvl w:val="9"/>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760" w:firstLineChars="1800"/>
        <w:textAlignment w:val="auto"/>
        <w:outlineLvl w:val="9"/>
        <w:rPr>
          <w:rFonts w:ascii="仿宋" w:hAnsi="仿宋" w:eastAsia="仿宋"/>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p>
    <w:p/>
    <w:p>
      <w:pPr>
        <w:spacing w:line="600" w:lineRule="exact"/>
        <w:ind w:firstLine="1325" w:firstLineChars="300"/>
        <w:rPr>
          <w:rFonts w:hint="eastAsia" w:ascii="黑体" w:hAnsi="黑体" w:eastAsia="黑体" w:cs="黑体"/>
          <w:sz w:val="32"/>
          <w:szCs w:val="32"/>
          <w:u w:val="none"/>
          <w:lang w:val="en-US" w:eastAsia="zh-CN"/>
        </w:rPr>
      </w:pPr>
      <w:bookmarkStart w:id="0" w:name="_GoBack"/>
      <w:bookmarkEnd w:id="0"/>
      <w:r>
        <w:rPr>
          <w:rFonts w:hint="eastAsia" w:ascii="宋体" w:hAnsi="宋体" w:eastAsia="宋体" w:cs="宋体"/>
          <w:b/>
          <w:bCs/>
          <w:sz w:val="44"/>
          <w:szCs w:val="44"/>
          <w:u w:val="single"/>
          <w:lang w:val="en-US" w:eastAsia="zh-CN"/>
        </w:rPr>
        <w:t xml:space="preserve">       </w:t>
      </w:r>
      <w:r>
        <w:rPr>
          <w:rFonts w:hint="eastAsia" w:ascii="宋体" w:hAnsi="宋体" w:eastAsia="宋体" w:cs="宋体"/>
          <w:b/>
          <w:bCs/>
          <w:sz w:val="44"/>
          <w:szCs w:val="44"/>
          <w:u w:val="none"/>
          <w:lang w:val="en-US" w:eastAsia="zh-CN"/>
        </w:rPr>
        <w:t>村集体资产评估公示表</w:t>
      </w:r>
    </w:p>
    <w:p>
      <w:pPr>
        <w:spacing w:line="600" w:lineRule="exact"/>
        <w:rPr>
          <w:rFonts w:hint="eastAsia" w:ascii="黑体" w:hAnsi="黑体" w:eastAsia="黑体" w:cs="黑体"/>
          <w:sz w:val="32"/>
          <w:szCs w:val="32"/>
          <w:u w:val="none"/>
          <w:lang w:val="en-US" w:eastAsia="zh-CN"/>
        </w:rPr>
      </w:pPr>
    </w:p>
    <w:tbl>
      <w:tblPr>
        <w:tblStyle w:val="10"/>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1515"/>
        <w:gridCol w:w="2453"/>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top"/>
          </w:tcPr>
          <w:p>
            <w:pPr>
              <w:spacing w:line="600" w:lineRule="exact"/>
              <w:jc w:val="center"/>
              <w:rPr>
                <w:rFonts w:hint="eastAsia" w:ascii="宋体" w:hAnsi="宋体" w:eastAsia="宋体" w:cs="宋体"/>
                <w:sz w:val="30"/>
                <w:szCs w:val="30"/>
                <w:u w:val="none"/>
                <w:vertAlign w:val="baseline"/>
                <w:lang w:val="en-US" w:eastAsia="zh-CN"/>
              </w:rPr>
            </w:pPr>
            <w:r>
              <w:rPr>
                <w:rFonts w:hint="eastAsia" w:ascii="宋体" w:hAnsi="宋体" w:eastAsia="宋体" w:cs="宋体"/>
                <w:sz w:val="30"/>
                <w:szCs w:val="30"/>
                <w:u w:val="none"/>
                <w:vertAlign w:val="baseline"/>
                <w:lang w:val="en-US" w:eastAsia="zh-CN"/>
              </w:rPr>
              <w:t>资产名称</w:t>
            </w:r>
          </w:p>
        </w:tc>
        <w:tc>
          <w:tcPr>
            <w:tcW w:w="1515" w:type="dxa"/>
            <w:vAlign w:val="top"/>
          </w:tcPr>
          <w:p>
            <w:pPr>
              <w:spacing w:line="600" w:lineRule="exact"/>
              <w:jc w:val="center"/>
              <w:rPr>
                <w:rFonts w:hint="eastAsia" w:ascii="宋体" w:hAnsi="宋体" w:eastAsia="宋体" w:cs="宋体"/>
                <w:sz w:val="30"/>
                <w:szCs w:val="30"/>
                <w:u w:val="none"/>
                <w:vertAlign w:val="baseline"/>
                <w:lang w:val="en-US" w:eastAsia="zh-CN"/>
              </w:rPr>
            </w:pPr>
            <w:r>
              <w:rPr>
                <w:rFonts w:hint="eastAsia" w:ascii="宋体" w:hAnsi="宋体" w:eastAsia="宋体" w:cs="宋体"/>
                <w:sz w:val="30"/>
                <w:szCs w:val="30"/>
                <w:u w:val="none"/>
                <w:vertAlign w:val="baseline"/>
                <w:lang w:val="en-US" w:eastAsia="zh-CN"/>
              </w:rPr>
              <w:t>数量</w:t>
            </w:r>
          </w:p>
        </w:tc>
        <w:tc>
          <w:tcPr>
            <w:tcW w:w="2453" w:type="dxa"/>
            <w:vAlign w:val="top"/>
          </w:tcPr>
          <w:p>
            <w:pPr>
              <w:spacing w:line="600" w:lineRule="exact"/>
              <w:jc w:val="center"/>
              <w:rPr>
                <w:rFonts w:hint="eastAsia" w:ascii="宋体" w:hAnsi="宋体" w:eastAsia="宋体" w:cs="宋体"/>
                <w:sz w:val="30"/>
                <w:szCs w:val="30"/>
                <w:u w:val="none"/>
                <w:vertAlign w:val="baseline"/>
                <w:lang w:val="en-US" w:eastAsia="zh-CN"/>
              </w:rPr>
            </w:pPr>
            <w:r>
              <w:rPr>
                <w:rFonts w:hint="eastAsia" w:ascii="宋体" w:hAnsi="宋体" w:eastAsia="宋体" w:cs="宋体"/>
                <w:sz w:val="30"/>
                <w:szCs w:val="30"/>
                <w:u w:val="none"/>
                <w:vertAlign w:val="baseline"/>
                <w:lang w:val="en-US" w:eastAsia="zh-CN"/>
              </w:rPr>
              <w:t>评估价值（元）</w:t>
            </w:r>
          </w:p>
        </w:tc>
        <w:tc>
          <w:tcPr>
            <w:tcW w:w="2021" w:type="dxa"/>
            <w:vAlign w:val="top"/>
          </w:tcPr>
          <w:p>
            <w:pPr>
              <w:spacing w:line="600" w:lineRule="exact"/>
              <w:jc w:val="center"/>
              <w:rPr>
                <w:rFonts w:hint="eastAsia" w:ascii="宋体" w:hAnsi="宋体" w:eastAsia="宋体" w:cs="宋体"/>
                <w:sz w:val="30"/>
                <w:szCs w:val="30"/>
                <w:u w:val="none"/>
                <w:vertAlign w:val="baseline"/>
                <w:lang w:val="en-US" w:eastAsia="zh-CN"/>
              </w:rPr>
            </w:pPr>
            <w:r>
              <w:rPr>
                <w:rFonts w:hint="eastAsia" w:ascii="宋体" w:hAnsi="宋体" w:eastAsia="宋体" w:cs="宋体"/>
                <w:sz w:val="30"/>
                <w:szCs w:val="30"/>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top"/>
          </w:tcPr>
          <w:p>
            <w:pPr>
              <w:spacing w:line="600" w:lineRule="exact"/>
              <w:rPr>
                <w:rFonts w:hint="eastAsia" w:ascii="黑体" w:hAnsi="黑体" w:eastAsia="黑体" w:cs="黑体"/>
                <w:sz w:val="21"/>
                <w:szCs w:val="21"/>
                <w:u w:val="none"/>
                <w:vertAlign w:val="baseline"/>
                <w:lang w:val="en-US" w:eastAsia="zh-CN"/>
              </w:rPr>
            </w:pPr>
          </w:p>
        </w:tc>
        <w:tc>
          <w:tcPr>
            <w:tcW w:w="1515" w:type="dxa"/>
            <w:vAlign w:val="top"/>
          </w:tcPr>
          <w:p>
            <w:pPr>
              <w:spacing w:line="600" w:lineRule="exact"/>
              <w:rPr>
                <w:rFonts w:hint="eastAsia" w:ascii="黑体" w:hAnsi="黑体" w:eastAsia="黑体" w:cs="黑体"/>
                <w:sz w:val="21"/>
                <w:szCs w:val="21"/>
                <w:u w:val="none"/>
                <w:vertAlign w:val="baseline"/>
                <w:lang w:val="en-US" w:eastAsia="zh-CN"/>
              </w:rPr>
            </w:pPr>
          </w:p>
        </w:tc>
        <w:tc>
          <w:tcPr>
            <w:tcW w:w="2453" w:type="dxa"/>
            <w:vAlign w:val="top"/>
          </w:tcPr>
          <w:p>
            <w:pPr>
              <w:spacing w:line="600" w:lineRule="exact"/>
              <w:rPr>
                <w:rFonts w:hint="eastAsia" w:ascii="黑体" w:hAnsi="黑体" w:eastAsia="黑体" w:cs="黑体"/>
                <w:sz w:val="21"/>
                <w:szCs w:val="21"/>
                <w:u w:val="none"/>
                <w:vertAlign w:val="baseline"/>
                <w:lang w:val="en-US" w:eastAsia="zh-CN"/>
              </w:rPr>
            </w:pPr>
          </w:p>
        </w:tc>
        <w:tc>
          <w:tcPr>
            <w:tcW w:w="2021" w:type="dxa"/>
            <w:vAlign w:val="top"/>
          </w:tcPr>
          <w:p>
            <w:pPr>
              <w:spacing w:line="600" w:lineRule="exact"/>
              <w:rPr>
                <w:rFonts w:hint="eastAsia" w:ascii="黑体" w:hAnsi="黑体" w:eastAsia="黑体" w:cs="黑体"/>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top"/>
          </w:tcPr>
          <w:p>
            <w:pPr>
              <w:spacing w:line="600" w:lineRule="exact"/>
              <w:rPr>
                <w:rFonts w:hint="eastAsia" w:ascii="黑体" w:hAnsi="黑体" w:eastAsia="黑体" w:cs="黑体"/>
                <w:sz w:val="21"/>
                <w:szCs w:val="21"/>
                <w:u w:val="none"/>
                <w:vertAlign w:val="baseline"/>
                <w:lang w:val="en-US" w:eastAsia="zh-CN"/>
              </w:rPr>
            </w:pPr>
          </w:p>
        </w:tc>
        <w:tc>
          <w:tcPr>
            <w:tcW w:w="1515" w:type="dxa"/>
            <w:vAlign w:val="top"/>
          </w:tcPr>
          <w:p>
            <w:pPr>
              <w:spacing w:line="600" w:lineRule="exact"/>
              <w:rPr>
                <w:rFonts w:hint="eastAsia" w:ascii="黑体" w:hAnsi="黑体" w:eastAsia="黑体" w:cs="黑体"/>
                <w:sz w:val="21"/>
                <w:szCs w:val="21"/>
                <w:u w:val="none"/>
                <w:vertAlign w:val="baseline"/>
                <w:lang w:val="en-US" w:eastAsia="zh-CN"/>
              </w:rPr>
            </w:pPr>
          </w:p>
        </w:tc>
        <w:tc>
          <w:tcPr>
            <w:tcW w:w="2453" w:type="dxa"/>
            <w:vAlign w:val="top"/>
          </w:tcPr>
          <w:p>
            <w:pPr>
              <w:spacing w:line="600" w:lineRule="exact"/>
              <w:rPr>
                <w:rFonts w:hint="eastAsia" w:ascii="黑体" w:hAnsi="黑体" w:eastAsia="黑体" w:cs="黑体"/>
                <w:sz w:val="21"/>
                <w:szCs w:val="21"/>
                <w:u w:val="none"/>
                <w:vertAlign w:val="baseline"/>
                <w:lang w:val="en-US" w:eastAsia="zh-CN"/>
              </w:rPr>
            </w:pPr>
          </w:p>
        </w:tc>
        <w:tc>
          <w:tcPr>
            <w:tcW w:w="2021" w:type="dxa"/>
            <w:vAlign w:val="top"/>
          </w:tcPr>
          <w:p>
            <w:pPr>
              <w:spacing w:line="600" w:lineRule="exact"/>
              <w:rPr>
                <w:rFonts w:hint="eastAsia" w:ascii="黑体" w:hAnsi="黑体" w:eastAsia="黑体" w:cs="黑体"/>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top"/>
          </w:tcPr>
          <w:p>
            <w:pPr>
              <w:spacing w:line="600" w:lineRule="exact"/>
              <w:rPr>
                <w:rFonts w:hint="eastAsia" w:ascii="黑体" w:hAnsi="黑体" w:eastAsia="黑体" w:cs="黑体"/>
                <w:sz w:val="21"/>
                <w:szCs w:val="21"/>
                <w:u w:val="none"/>
                <w:vertAlign w:val="baseline"/>
                <w:lang w:val="en-US" w:eastAsia="zh-CN"/>
              </w:rPr>
            </w:pPr>
          </w:p>
        </w:tc>
        <w:tc>
          <w:tcPr>
            <w:tcW w:w="1515" w:type="dxa"/>
            <w:vAlign w:val="top"/>
          </w:tcPr>
          <w:p>
            <w:pPr>
              <w:spacing w:line="600" w:lineRule="exact"/>
              <w:rPr>
                <w:rFonts w:hint="eastAsia" w:ascii="黑体" w:hAnsi="黑体" w:eastAsia="黑体" w:cs="黑体"/>
                <w:sz w:val="21"/>
                <w:szCs w:val="21"/>
                <w:u w:val="none"/>
                <w:vertAlign w:val="baseline"/>
                <w:lang w:val="en-US" w:eastAsia="zh-CN"/>
              </w:rPr>
            </w:pPr>
          </w:p>
        </w:tc>
        <w:tc>
          <w:tcPr>
            <w:tcW w:w="2453" w:type="dxa"/>
            <w:vAlign w:val="top"/>
          </w:tcPr>
          <w:p>
            <w:pPr>
              <w:spacing w:line="600" w:lineRule="exact"/>
              <w:rPr>
                <w:rFonts w:hint="eastAsia" w:ascii="黑体" w:hAnsi="黑体" w:eastAsia="黑体" w:cs="黑体"/>
                <w:sz w:val="21"/>
                <w:szCs w:val="21"/>
                <w:u w:val="none"/>
                <w:vertAlign w:val="baseline"/>
                <w:lang w:val="en-US" w:eastAsia="zh-CN"/>
              </w:rPr>
            </w:pPr>
          </w:p>
        </w:tc>
        <w:tc>
          <w:tcPr>
            <w:tcW w:w="2021" w:type="dxa"/>
            <w:vAlign w:val="top"/>
          </w:tcPr>
          <w:p>
            <w:pPr>
              <w:spacing w:line="600" w:lineRule="exact"/>
              <w:rPr>
                <w:rFonts w:hint="eastAsia" w:ascii="黑体" w:hAnsi="黑体" w:eastAsia="黑体" w:cs="黑体"/>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top"/>
          </w:tcPr>
          <w:p>
            <w:pPr>
              <w:spacing w:line="600" w:lineRule="exact"/>
              <w:rPr>
                <w:rFonts w:hint="eastAsia" w:ascii="黑体" w:hAnsi="黑体" w:eastAsia="黑体" w:cs="黑体"/>
                <w:sz w:val="21"/>
                <w:szCs w:val="21"/>
                <w:u w:val="none"/>
                <w:vertAlign w:val="baseline"/>
                <w:lang w:val="en-US" w:eastAsia="zh-CN"/>
              </w:rPr>
            </w:pPr>
          </w:p>
        </w:tc>
        <w:tc>
          <w:tcPr>
            <w:tcW w:w="1515" w:type="dxa"/>
            <w:vAlign w:val="top"/>
          </w:tcPr>
          <w:p>
            <w:pPr>
              <w:spacing w:line="600" w:lineRule="exact"/>
              <w:rPr>
                <w:rFonts w:hint="eastAsia" w:ascii="黑体" w:hAnsi="黑体" w:eastAsia="黑体" w:cs="黑体"/>
                <w:sz w:val="21"/>
                <w:szCs w:val="21"/>
                <w:u w:val="none"/>
                <w:vertAlign w:val="baseline"/>
                <w:lang w:val="en-US" w:eastAsia="zh-CN"/>
              </w:rPr>
            </w:pPr>
          </w:p>
        </w:tc>
        <w:tc>
          <w:tcPr>
            <w:tcW w:w="2453" w:type="dxa"/>
            <w:vAlign w:val="top"/>
          </w:tcPr>
          <w:p>
            <w:pPr>
              <w:spacing w:line="600" w:lineRule="exact"/>
              <w:rPr>
                <w:rFonts w:hint="eastAsia" w:ascii="黑体" w:hAnsi="黑体" w:eastAsia="黑体" w:cs="黑体"/>
                <w:sz w:val="21"/>
                <w:szCs w:val="21"/>
                <w:u w:val="none"/>
                <w:vertAlign w:val="baseline"/>
                <w:lang w:val="en-US" w:eastAsia="zh-CN"/>
              </w:rPr>
            </w:pPr>
          </w:p>
        </w:tc>
        <w:tc>
          <w:tcPr>
            <w:tcW w:w="2021" w:type="dxa"/>
            <w:vAlign w:val="top"/>
          </w:tcPr>
          <w:p>
            <w:pPr>
              <w:spacing w:line="600" w:lineRule="exact"/>
              <w:rPr>
                <w:rFonts w:hint="eastAsia" w:ascii="黑体" w:hAnsi="黑体" w:eastAsia="黑体" w:cs="黑体"/>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top"/>
          </w:tcPr>
          <w:p>
            <w:pPr>
              <w:spacing w:line="600" w:lineRule="exact"/>
              <w:rPr>
                <w:rFonts w:hint="eastAsia" w:ascii="黑体" w:hAnsi="黑体" w:eastAsia="黑体" w:cs="黑体"/>
                <w:sz w:val="21"/>
                <w:szCs w:val="21"/>
                <w:u w:val="none"/>
                <w:vertAlign w:val="baseline"/>
                <w:lang w:val="en-US" w:eastAsia="zh-CN"/>
              </w:rPr>
            </w:pPr>
          </w:p>
        </w:tc>
        <w:tc>
          <w:tcPr>
            <w:tcW w:w="1515" w:type="dxa"/>
            <w:vAlign w:val="top"/>
          </w:tcPr>
          <w:p>
            <w:pPr>
              <w:spacing w:line="600" w:lineRule="exact"/>
              <w:rPr>
                <w:rFonts w:hint="eastAsia" w:ascii="黑体" w:hAnsi="黑体" w:eastAsia="黑体" w:cs="黑体"/>
                <w:sz w:val="21"/>
                <w:szCs w:val="21"/>
                <w:u w:val="none"/>
                <w:vertAlign w:val="baseline"/>
                <w:lang w:val="en-US" w:eastAsia="zh-CN"/>
              </w:rPr>
            </w:pPr>
          </w:p>
        </w:tc>
        <w:tc>
          <w:tcPr>
            <w:tcW w:w="2453" w:type="dxa"/>
            <w:vAlign w:val="top"/>
          </w:tcPr>
          <w:p>
            <w:pPr>
              <w:spacing w:line="600" w:lineRule="exact"/>
              <w:rPr>
                <w:rFonts w:hint="eastAsia" w:ascii="黑体" w:hAnsi="黑体" w:eastAsia="黑体" w:cs="黑体"/>
                <w:sz w:val="21"/>
                <w:szCs w:val="21"/>
                <w:u w:val="none"/>
                <w:vertAlign w:val="baseline"/>
                <w:lang w:val="en-US" w:eastAsia="zh-CN"/>
              </w:rPr>
            </w:pPr>
          </w:p>
        </w:tc>
        <w:tc>
          <w:tcPr>
            <w:tcW w:w="2021" w:type="dxa"/>
            <w:vAlign w:val="top"/>
          </w:tcPr>
          <w:p>
            <w:pPr>
              <w:spacing w:line="600" w:lineRule="exact"/>
              <w:rPr>
                <w:rFonts w:hint="eastAsia" w:ascii="黑体" w:hAnsi="黑体" w:eastAsia="黑体" w:cs="黑体"/>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top"/>
          </w:tcPr>
          <w:p>
            <w:pPr>
              <w:spacing w:line="600" w:lineRule="exact"/>
              <w:rPr>
                <w:rFonts w:hint="eastAsia" w:ascii="黑体" w:hAnsi="黑体" w:eastAsia="黑体" w:cs="黑体"/>
                <w:sz w:val="21"/>
                <w:szCs w:val="21"/>
                <w:u w:val="none"/>
                <w:vertAlign w:val="baseline"/>
                <w:lang w:val="en-US" w:eastAsia="zh-CN"/>
              </w:rPr>
            </w:pPr>
          </w:p>
        </w:tc>
        <w:tc>
          <w:tcPr>
            <w:tcW w:w="1515" w:type="dxa"/>
            <w:vAlign w:val="top"/>
          </w:tcPr>
          <w:p>
            <w:pPr>
              <w:spacing w:line="600" w:lineRule="exact"/>
              <w:rPr>
                <w:rFonts w:hint="eastAsia" w:ascii="黑体" w:hAnsi="黑体" w:eastAsia="黑体" w:cs="黑体"/>
                <w:sz w:val="21"/>
                <w:szCs w:val="21"/>
                <w:u w:val="none"/>
                <w:vertAlign w:val="baseline"/>
                <w:lang w:val="en-US" w:eastAsia="zh-CN"/>
              </w:rPr>
            </w:pPr>
          </w:p>
        </w:tc>
        <w:tc>
          <w:tcPr>
            <w:tcW w:w="2453" w:type="dxa"/>
            <w:vAlign w:val="top"/>
          </w:tcPr>
          <w:p>
            <w:pPr>
              <w:spacing w:line="600" w:lineRule="exact"/>
              <w:rPr>
                <w:rFonts w:hint="eastAsia" w:ascii="黑体" w:hAnsi="黑体" w:eastAsia="黑体" w:cs="黑体"/>
                <w:sz w:val="21"/>
                <w:szCs w:val="21"/>
                <w:u w:val="none"/>
                <w:vertAlign w:val="baseline"/>
                <w:lang w:val="en-US" w:eastAsia="zh-CN"/>
              </w:rPr>
            </w:pPr>
          </w:p>
        </w:tc>
        <w:tc>
          <w:tcPr>
            <w:tcW w:w="2021" w:type="dxa"/>
            <w:vAlign w:val="top"/>
          </w:tcPr>
          <w:p>
            <w:pPr>
              <w:spacing w:line="600" w:lineRule="exact"/>
              <w:rPr>
                <w:rFonts w:hint="eastAsia" w:ascii="黑体" w:hAnsi="黑体" w:eastAsia="黑体" w:cs="黑体"/>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top"/>
          </w:tcPr>
          <w:p>
            <w:pPr>
              <w:spacing w:line="600" w:lineRule="exact"/>
              <w:rPr>
                <w:rFonts w:hint="eastAsia" w:ascii="黑体" w:hAnsi="黑体" w:eastAsia="黑体" w:cs="黑体"/>
                <w:sz w:val="21"/>
                <w:szCs w:val="21"/>
                <w:u w:val="none"/>
                <w:vertAlign w:val="baseline"/>
                <w:lang w:val="en-US" w:eastAsia="zh-CN"/>
              </w:rPr>
            </w:pPr>
          </w:p>
        </w:tc>
        <w:tc>
          <w:tcPr>
            <w:tcW w:w="1515" w:type="dxa"/>
            <w:vAlign w:val="top"/>
          </w:tcPr>
          <w:p>
            <w:pPr>
              <w:spacing w:line="600" w:lineRule="exact"/>
              <w:rPr>
                <w:rFonts w:hint="eastAsia" w:ascii="黑体" w:hAnsi="黑体" w:eastAsia="黑体" w:cs="黑体"/>
                <w:sz w:val="21"/>
                <w:szCs w:val="21"/>
                <w:u w:val="none"/>
                <w:vertAlign w:val="baseline"/>
                <w:lang w:val="en-US" w:eastAsia="zh-CN"/>
              </w:rPr>
            </w:pPr>
          </w:p>
        </w:tc>
        <w:tc>
          <w:tcPr>
            <w:tcW w:w="2453" w:type="dxa"/>
            <w:vAlign w:val="top"/>
          </w:tcPr>
          <w:p>
            <w:pPr>
              <w:spacing w:line="600" w:lineRule="exact"/>
              <w:rPr>
                <w:rFonts w:hint="eastAsia" w:ascii="黑体" w:hAnsi="黑体" w:eastAsia="黑体" w:cs="黑体"/>
                <w:sz w:val="21"/>
                <w:szCs w:val="21"/>
                <w:u w:val="none"/>
                <w:vertAlign w:val="baseline"/>
                <w:lang w:val="en-US" w:eastAsia="zh-CN"/>
              </w:rPr>
            </w:pPr>
          </w:p>
        </w:tc>
        <w:tc>
          <w:tcPr>
            <w:tcW w:w="2021" w:type="dxa"/>
            <w:vAlign w:val="top"/>
          </w:tcPr>
          <w:p>
            <w:pPr>
              <w:spacing w:line="600" w:lineRule="exact"/>
              <w:rPr>
                <w:rFonts w:hint="eastAsia" w:ascii="黑体" w:hAnsi="黑体" w:eastAsia="黑体" w:cs="黑体"/>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top"/>
          </w:tcPr>
          <w:p>
            <w:pPr>
              <w:spacing w:line="600" w:lineRule="exact"/>
              <w:rPr>
                <w:rFonts w:hint="eastAsia" w:ascii="黑体" w:hAnsi="黑体" w:eastAsia="黑体" w:cs="黑体"/>
                <w:sz w:val="21"/>
                <w:szCs w:val="21"/>
                <w:u w:val="none"/>
                <w:vertAlign w:val="baseline"/>
                <w:lang w:val="en-US" w:eastAsia="zh-CN"/>
              </w:rPr>
            </w:pPr>
          </w:p>
        </w:tc>
        <w:tc>
          <w:tcPr>
            <w:tcW w:w="1515" w:type="dxa"/>
            <w:vAlign w:val="top"/>
          </w:tcPr>
          <w:p>
            <w:pPr>
              <w:spacing w:line="600" w:lineRule="exact"/>
              <w:rPr>
                <w:rFonts w:hint="eastAsia" w:ascii="黑体" w:hAnsi="黑体" w:eastAsia="黑体" w:cs="黑体"/>
                <w:sz w:val="21"/>
                <w:szCs w:val="21"/>
                <w:u w:val="none"/>
                <w:vertAlign w:val="baseline"/>
                <w:lang w:val="en-US" w:eastAsia="zh-CN"/>
              </w:rPr>
            </w:pPr>
          </w:p>
        </w:tc>
        <w:tc>
          <w:tcPr>
            <w:tcW w:w="2453" w:type="dxa"/>
            <w:vAlign w:val="top"/>
          </w:tcPr>
          <w:p>
            <w:pPr>
              <w:spacing w:line="600" w:lineRule="exact"/>
              <w:rPr>
                <w:rFonts w:hint="eastAsia" w:ascii="黑体" w:hAnsi="黑体" w:eastAsia="黑体" w:cs="黑体"/>
                <w:sz w:val="21"/>
                <w:szCs w:val="21"/>
                <w:u w:val="none"/>
                <w:vertAlign w:val="baseline"/>
                <w:lang w:val="en-US" w:eastAsia="zh-CN"/>
              </w:rPr>
            </w:pPr>
          </w:p>
        </w:tc>
        <w:tc>
          <w:tcPr>
            <w:tcW w:w="2021" w:type="dxa"/>
            <w:vAlign w:val="top"/>
          </w:tcPr>
          <w:p>
            <w:pPr>
              <w:spacing w:line="600" w:lineRule="exact"/>
              <w:rPr>
                <w:rFonts w:hint="eastAsia" w:ascii="黑体" w:hAnsi="黑体" w:eastAsia="黑体" w:cs="黑体"/>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top"/>
          </w:tcPr>
          <w:p>
            <w:pPr>
              <w:spacing w:line="600" w:lineRule="exact"/>
              <w:rPr>
                <w:rFonts w:hint="eastAsia" w:ascii="黑体" w:hAnsi="黑体" w:eastAsia="黑体" w:cs="黑体"/>
                <w:sz w:val="21"/>
                <w:szCs w:val="21"/>
                <w:u w:val="none"/>
                <w:vertAlign w:val="baseline"/>
                <w:lang w:val="en-US" w:eastAsia="zh-CN"/>
              </w:rPr>
            </w:pPr>
          </w:p>
        </w:tc>
        <w:tc>
          <w:tcPr>
            <w:tcW w:w="1515" w:type="dxa"/>
            <w:vAlign w:val="top"/>
          </w:tcPr>
          <w:p>
            <w:pPr>
              <w:spacing w:line="600" w:lineRule="exact"/>
              <w:rPr>
                <w:rFonts w:hint="eastAsia" w:ascii="黑体" w:hAnsi="黑体" w:eastAsia="黑体" w:cs="黑体"/>
                <w:sz w:val="21"/>
                <w:szCs w:val="21"/>
                <w:u w:val="none"/>
                <w:vertAlign w:val="baseline"/>
                <w:lang w:val="en-US" w:eastAsia="zh-CN"/>
              </w:rPr>
            </w:pPr>
          </w:p>
        </w:tc>
        <w:tc>
          <w:tcPr>
            <w:tcW w:w="2453" w:type="dxa"/>
            <w:vAlign w:val="top"/>
          </w:tcPr>
          <w:p>
            <w:pPr>
              <w:spacing w:line="600" w:lineRule="exact"/>
              <w:rPr>
                <w:rFonts w:hint="eastAsia" w:ascii="黑体" w:hAnsi="黑体" w:eastAsia="黑体" w:cs="黑体"/>
                <w:sz w:val="21"/>
                <w:szCs w:val="21"/>
                <w:u w:val="none"/>
                <w:vertAlign w:val="baseline"/>
                <w:lang w:val="en-US" w:eastAsia="zh-CN"/>
              </w:rPr>
            </w:pPr>
          </w:p>
        </w:tc>
        <w:tc>
          <w:tcPr>
            <w:tcW w:w="2021" w:type="dxa"/>
            <w:vAlign w:val="top"/>
          </w:tcPr>
          <w:p>
            <w:pPr>
              <w:spacing w:line="600" w:lineRule="exact"/>
              <w:rPr>
                <w:rFonts w:hint="eastAsia" w:ascii="黑体" w:hAnsi="黑体" w:eastAsia="黑体" w:cs="黑体"/>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top"/>
          </w:tcPr>
          <w:p>
            <w:pPr>
              <w:spacing w:line="600" w:lineRule="exact"/>
              <w:rPr>
                <w:rFonts w:hint="eastAsia" w:ascii="黑体" w:hAnsi="黑体" w:eastAsia="黑体" w:cs="黑体"/>
                <w:sz w:val="21"/>
                <w:szCs w:val="21"/>
                <w:u w:val="none"/>
                <w:vertAlign w:val="baseline"/>
                <w:lang w:val="en-US" w:eastAsia="zh-CN"/>
              </w:rPr>
            </w:pPr>
          </w:p>
        </w:tc>
        <w:tc>
          <w:tcPr>
            <w:tcW w:w="1515" w:type="dxa"/>
            <w:vAlign w:val="top"/>
          </w:tcPr>
          <w:p>
            <w:pPr>
              <w:spacing w:line="600" w:lineRule="exact"/>
              <w:rPr>
                <w:rFonts w:hint="eastAsia" w:ascii="黑体" w:hAnsi="黑体" w:eastAsia="黑体" w:cs="黑体"/>
                <w:sz w:val="21"/>
                <w:szCs w:val="21"/>
                <w:u w:val="none"/>
                <w:vertAlign w:val="baseline"/>
                <w:lang w:val="en-US" w:eastAsia="zh-CN"/>
              </w:rPr>
            </w:pPr>
          </w:p>
        </w:tc>
        <w:tc>
          <w:tcPr>
            <w:tcW w:w="2453" w:type="dxa"/>
            <w:vAlign w:val="top"/>
          </w:tcPr>
          <w:p>
            <w:pPr>
              <w:spacing w:line="600" w:lineRule="exact"/>
              <w:rPr>
                <w:rFonts w:hint="eastAsia" w:ascii="黑体" w:hAnsi="黑体" w:eastAsia="黑体" w:cs="黑体"/>
                <w:sz w:val="21"/>
                <w:szCs w:val="21"/>
                <w:u w:val="none"/>
                <w:vertAlign w:val="baseline"/>
                <w:lang w:val="en-US" w:eastAsia="zh-CN"/>
              </w:rPr>
            </w:pPr>
          </w:p>
        </w:tc>
        <w:tc>
          <w:tcPr>
            <w:tcW w:w="2021" w:type="dxa"/>
            <w:vAlign w:val="top"/>
          </w:tcPr>
          <w:p>
            <w:pPr>
              <w:spacing w:line="600" w:lineRule="exact"/>
              <w:rPr>
                <w:rFonts w:hint="eastAsia" w:ascii="黑体" w:hAnsi="黑体" w:eastAsia="黑体" w:cs="黑体"/>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top"/>
          </w:tcPr>
          <w:p>
            <w:pPr>
              <w:spacing w:line="600" w:lineRule="exact"/>
              <w:rPr>
                <w:rFonts w:hint="eastAsia" w:ascii="黑体" w:hAnsi="黑体" w:eastAsia="黑体" w:cs="黑体"/>
                <w:sz w:val="21"/>
                <w:szCs w:val="21"/>
                <w:u w:val="none"/>
                <w:vertAlign w:val="baseline"/>
                <w:lang w:val="en-US" w:eastAsia="zh-CN"/>
              </w:rPr>
            </w:pPr>
          </w:p>
        </w:tc>
        <w:tc>
          <w:tcPr>
            <w:tcW w:w="1515" w:type="dxa"/>
            <w:vAlign w:val="top"/>
          </w:tcPr>
          <w:p>
            <w:pPr>
              <w:spacing w:line="600" w:lineRule="exact"/>
              <w:rPr>
                <w:rFonts w:hint="eastAsia" w:ascii="黑体" w:hAnsi="黑体" w:eastAsia="黑体" w:cs="黑体"/>
                <w:sz w:val="21"/>
                <w:szCs w:val="21"/>
                <w:u w:val="none"/>
                <w:vertAlign w:val="baseline"/>
                <w:lang w:val="en-US" w:eastAsia="zh-CN"/>
              </w:rPr>
            </w:pPr>
          </w:p>
        </w:tc>
        <w:tc>
          <w:tcPr>
            <w:tcW w:w="2453" w:type="dxa"/>
            <w:vAlign w:val="top"/>
          </w:tcPr>
          <w:p>
            <w:pPr>
              <w:spacing w:line="600" w:lineRule="exact"/>
              <w:rPr>
                <w:rFonts w:hint="eastAsia" w:ascii="黑体" w:hAnsi="黑体" w:eastAsia="黑体" w:cs="黑体"/>
                <w:sz w:val="21"/>
                <w:szCs w:val="21"/>
                <w:u w:val="none"/>
                <w:vertAlign w:val="baseline"/>
                <w:lang w:val="en-US" w:eastAsia="zh-CN"/>
              </w:rPr>
            </w:pPr>
          </w:p>
        </w:tc>
        <w:tc>
          <w:tcPr>
            <w:tcW w:w="2021" w:type="dxa"/>
            <w:vAlign w:val="top"/>
          </w:tcPr>
          <w:p>
            <w:pPr>
              <w:spacing w:line="600" w:lineRule="exact"/>
              <w:rPr>
                <w:rFonts w:hint="eastAsia" w:ascii="黑体" w:hAnsi="黑体" w:eastAsia="黑体" w:cs="黑体"/>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top"/>
          </w:tcPr>
          <w:p>
            <w:pPr>
              <w:spacing w:line="600" w:lineRule="exact"/>
              <w:rPr>
                <w:rFonts w:hint="eastAsia" w:ascii="黑体" w:hAnsi="黑体" w:eastAsia="黑体" w:cs="黑体"/>
                <w:sz w:val="21"/>
                <w:szCs w:val="21"/>
                <w:u w:val="none"/>
                <w:vertAlign w:val="baseline"/>
                <w:lang w:val="en-US" w:eastAsia="zh-CN"/>
              </w:rPr>
            </w:pPr>
          </w:p>
        </w:tc>
        <w:tc>
          <w:tcPr>
            <w:tcW w:w="1515" w:type="dxa"/>
            <w:vAlign w:val="top"/>
          </w:tcPr>
          <w:p>
            <w:pPr>
              <w:spacing w:line="600" w:lineRule="exact"/>
              <w:rPr>
                <w:rFonts w:hint="eastAsia" w:ascii="黑体" w:hAnsi="黑体" w:eastAsia="黑体" w:cs="黑体"/>
                <w:sz w:val="21"/>
                <w:szCs w:val="21"/>
                <w:u w:val="none"/>
                <w:vertAlign w:val="baseline"/>
                <w:lang w:val="en-US" w:eastAsia="zh-CN"/>
              </w:rPr>
            </w:pPr>
          </w:p>
        </w:tc>
        <w:tc>
          <w:tcPr>
            <w:tcW w:w="2453" w:type="dxa"/>
            <w:vAlign w:val="top"/>
          </w:tcPr>
          <w:p>
            <w:pPr>
              <w:spacing w:line="600" w:lineRule="exact"/>
              <w:rPr>
                <w:rFonts w:hint="eastAsia" w:ascii="黑体" w:hAnsi="黑体" w:eastAsia="黑体" w:cs="黑体"/>
                <w:sz w:val="21"/>
                <w:szCs w:val="21"/>
                <w:u w:val="none"/>
                <w:vertAlign w:val="baseline"/>
                <w:lang w:val="en-US" w:eastAsia="zh-CN"/>
              </w:rPr>
            </w:pPr>
          </w:p>
        </w:tc>
        <w:tc>
          <w:tcPr>
            <w:tcW w:w="2021" w:type="dxa"/>
            <w:vAlign w:val="top"/>
          </w:tcPr>
          <w:p>
            <w:pPr>
              <w:spacing w:line="600" w:lineRule="exact"/>
              <w:rPr>
                <w:rFonts w:hint="eastAsia" w:ascii="黑体" w:hAnsi="黑体" w:eastAsia="黑体" w:cs="黑体"/>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top"/>
          </w:tcPr>
          <w:p>
            <w:pPr>
              <w:spacing w:line="600" w:lineRule="exact"/>
              <w:rPr>
                <w:rFonts w:hint="eastAsia" w:ascii="黑体" w:hAnsi="黑体" w:eastAsia="黑体" w:cs="黑体"/>
                <w:sz w:val="21"/>
                <w:szCs w:val="21"/>
                <w:u w:val="none"/>
                <w:vertAlign w:val="baseline"/>
                <w:lang w:val="en-US" w:eastAsia="zh-CN"/>
              </w:rPr>
            </w:pPr>
          </w:p>
        </w:tc>
        <w:tc>
          <w:tcPr>
            <w:tcW w:w="1515" w:type="dxa"/>
            <w:vAlign w:val="top"/>
          </w:tcPr>
          <w:p>
            <w:pPr>
              <w:spacing w:line="600" w:lineRule="exact"/>
              <w:rPr>
                <w:rFonts w:hint="eastAsia" w:ascii="黑体" w:hAnsi="黑体" w:eastAsia="黑体" w:cs="黑体"/>
                <w:sz w:val="21"/>
                <w:szCs w:val="21"/>
                <w:u w:val="none"/>
                <w:vertAlign w:val="baseline"/>
                <w:lang w:val="en-US" w:eastAsia="zh-CN"/>
              </w:rPr>
            </w:pPr>
          </w:p>
        </w:tc>
        <w:tc>
          <w:tcPr>
            <w:tcW w:w="2453" w:type="dxa"/>
            <w:vAlign w:val="top"/>
          </w:tcPr>
          <w:p>
            <w:pPr>
              <w:spacing w:line="600" w:lineRule="exact"/>
              <w:rPr>
                <w:rFonts w:hint="eastAsia" w:ascii="黑体" w:hAnsi="黑体" w:eastAsia="黑体" w:cs="黑体"/>
                <w:sz w:val="21"/>
                <w:szCs w:val="21"/>
                <w:u w:val="none"/>
                <w:vertAlign w:val="baseline"/>
                <w:lang w:val="en-US" w:eastAsia="zh-CN"/>
              </w:rPr>
            </w:pPr>
          </w:p>
        </w:tc>
        <w:tc>
          <w:tcPr>
            <w:tcW w:w="2021" w:type="dxa"/>
            <w:vAlign w:val="top"/>
          </w:tcPr>
          <w:p>
            <w:pPr>
              <w:spacing w:line="600" w:lineRule="exact"/>
              <w:rPr>
                <w:rFonts w:hint="eastAsia" w:ascii="黑体" w:hAnsi="黑体" w:eastAsia="黑体" w:cs="黑体"/>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top"/>
          </w:tcPr>
          <w:p>
            <w:pPr>
              <w:spacing w:line="600" w:lineRule="exact"/>
              <w:rPr>
                <w:rFonts w:hint="eastAsia" w:ascii="黑体" w:hAnsi="黑体" w:eastAsia="黑体" w:cs="黑体"/>
                <w:sz w:val="21"/>
                <w:szCs w:val="21"/>
                <w:u w:val="none"/>
                <w:vertAlign w:val="baseline"/>
                <w:lang w:val="en-US" w:eastAsia="zh-CN"/>
              </w:rPr>
            </w:pPr>
          </w:p>
        </w:tc>
        <w:tc>
          <w:tcPr>
            <w:tcW w:w="1515" w:type="dxa"/>
            <w:vAlign w:val="top"/>
          </w:tcPr>
          <w:p>
            <w:pPr>
              <w:spacing w:line="600" w:lineRule="exact"/>
              <w:rPr>
                <w:rFonts w:hint="eastAsia" w:ascii="黑体" w:hAnsi="黑体" w:eastAsia="黑体" w:cs="黑体"/>
                <w:sz w:val="21"/>
                <w:szCs w:val="21"/>
                <w:u w:val="none"/>
                <w:vertAlign w:val="baseline"/>
                <w:lang w:val="en-US" w:eastAsia="zh-CN"/>
              </w:rPr>
            </w:pPr>
          </w:p>
        </w:tc>
        <w:tc>
          <w:tcPr>
            <w:tcW w:w="2453" w:type="dxa"/>
            <w:vAlign w:val="top"/>
          </w:tcPr>
          <w:p>
            <w:pPr>
              <w:spacing w:line="600" w:lineRule="exact"/>
              <w:rPr>
                <w:rFonts w:hint="eastAsia" w:ascii="黑体" w:hAnsi="黑体" w:eastAsia="黑体" w:cs="黑体"/>
                <w:sz w:val="21"/>
                <w:szCs w:val="21"/>
                <w:u w:val="none"/>
                <w:vertAlign w:val="baseline"/>
                <w:lang w:val="en-US" w:eastAsia="zh-CN"/>
              </w:rPr>
            </w:pPr>
          </w:p>
        </w:tc>
        <w:tc>
          <w:tcPr>
            <w:tcW w:w="2021" w:type="dxa"/>
            <w:vAlign w:val="top"/>
          </w:tcPr>
          <w:p>
            <w:pPr>
              <w:spacing w:line="600" w:lineRule="exact"/>
              <w:rPr>
                <w:rFonts w:hint="eastAsia" w:ascii="黑体" w:hAnsi="黑体" w:eastAsia="黑体" w:cs="黑体"/>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top"/>
          </w:tcPr>
          <w:p>
            <w:pPr>
              <w:spacing w:line="600" w:lineRule="exact"/>
              <w:rPr>
                <w:rFonts w:hint="eastAsia" w:ascii="黑体" w:hAnsi="黑体" w:eastAsia="黑体" w:cs="黑体"/>
                <w:sz w:val="21"/>
                <w:szCs w:val="21"/>
                <w:u w:val="none"/>
                <w:vertAlign w:val="baseline"/>
                <w:lang w:val="en-US" w:eastAsia="zh-CN"/>
              </w:rPr>
            </w:pPr>
          </w:p>
        </w:tc>
        <w:tc>
          <w:tcPr>
            <w:tcW w:w="1515" w:type="dxa"/>
            <w:vAlign w:val="top"/>
          </w:tcPr>
          <w:p>
            <w:pPr>
              <w:spacing w:line="600" w:lineRule="exact"/>
              <w:rPr>
                <w:rFonts w:hint="eastAsia" w:ascii="黑体" w:hAnsi="黑体" w:eastAsia="黑体" w:cs="黑体"/>
                <w:sz w:val="21"/>
                <w:szCs w:val="21"/>
                <w:u w:val="none"/>
                <w:vertAlign w:val="baseline"/>
                <w:lang w:val="en-US" w:eastAsia="zh-CN"/>
              </w:rPr>
            </w:pPr>
          </w:p>
        </w:tc>
        <w:tc>
          <w:tcPr>
            <w:tcW w:w="2453" w:type="dxa"/>
            <w:vAlign w:val="top"/>
          </w:tcPr>
          <w:p>
            <w:pPr>
              <w:spacing w:line="600" w:lineRule="exact"/>
              <w:rPr>
                <w:rFonts w:hint="eastAsia" w:ascii="黑体" w:hAnsi="黑体" w:eastAsia="黑体" w:cs="黑体"/>
                <w:sz w:val="21"/>
                <w:szCs w:val="21"/>
                <w:u w:val="none"/>
                <w:vertAlign w:val="baseline"/>
                <w:lang w:val="en-US" w:eastAsia="zh-CN"/>
              </w:rPr>
            </w:pPr>
          </w:p>
        </w:tc>
        <w:tc>
          <w:tcPr>
            <w:tcW w:w="2021" w:type="dxa"/>
            <w:vAlign w:val="top"/>
          </w:tcPr>
          <w:p>
            <w:pPr>
              <w:spacing w:line="600" w:lineRule="exact"/>
              <w:rPr>
                <w:rFonts w:hint="eastAsia" w:ascii="黑体" w:hAnsi="黑体" w:eastAsia="黑体" w:cs="黑体"/>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top"/>
          </w:tcPr>
          <w:p>
            <w:pPr>
              <w:spacing w:line="600" w:lineRule="exact"/>
              <w:rPr>
                <w:rFonts w:hint="eastAsia" w:ascii="黑体" w:hAnsi="黑体" w:eastAsia="黑体" w:cs="黑体"/>
                <w:sz w:val="21"/>
                <w:szCs w:val="21"/>
                <w:u w:val="none"/>
                <w:vertAlign w:val="baseline"/>
                <w:lang w:val="en-US" w:eastAsia="zh-CN"/>
              </w:rPr>
            </w:pPr>
          </w:p>
        </w:tc>
        <w:tc>
          <w:tcPr>
            <w:tcW w:w="1515" w:type="dxa"/>
            <w:vAlign w:val="top"/>
          </w:tcPr>
          <w:p>
            <w:pPr>
              <w:spacing w:line="600" w:lineRule="exact"/>
              <w:rPr>
                <w:rFonts w:hint="eastAsia" w:ascii="黑体" w:hAnsi="黑体" w:eastAsia="黑体" w:cs="黑体"/>
                <w:sz w:val="21"/>
                <w:szCs w:val="21"/>
                <w:u w:val="none"/>
                <w:vertAlign w:val="baseline"/>
                <w:lang w:val="en-US" w:eastAsia="zh-CN"/>
              </w:rPr>
            </w:pPr>
          </w:p>
        </w:tc>
        <w:tc>
          <w:tcPr>
            <w:tcW w:w="2453" w:type="dxa"/>
            <w:vAlign w:val="top"/>
          </w:tcPr>
          <w:p>
            <w:pPr>
              <w:spacing w:line="600" w:lineRule="exact"/>
              <w:rPr>
                <w:rFonts w:hint="eastAsia" w:ascii="黑体" w:hAnsi="黑体" w:eastAsia="黑体" w:cs="黑体"/>
                <w:sz w:val="21"/>
                <w:szCs w:val="21"/>
                <w:u w:val="none"/>
                <w:vertAlign w:val="baseline"/>
                <w:lang w:val="en-US" w:eastAsia="zh-CN"/>
              </w:rPr>
            </w:pPr>
          </w:p>
        </w:tc>
        <w:tc>
          <w:tcPr>
            <w:tcW w:w="2021" w:type="dxa"/>
            <w:vAlign w:val="top"/>
          </w:tcPr>
          <w:p>
            <w:pPr>
              <w:spacing w:line="600" w:lineRule="exact"/>
              <w:rPr>
                <w:rFonts w:hint="eastAsia" w:ascii="黑体" w:hAnsi="黑体" w:eastAsia="黑体" w:cs="黑体"/>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top"/>
          </w:tcPr>
          <w:p>
            <w:pPr>
              <w:spacing w:line="600" w:lineRule="exact"/>
              <w:rPr>
                <w:rFonts w:hint="eastAsia" w:ascii="黑体" w:hAnsi="黑体" w:eastAsia="黑体" w:cs="黑体"/>
                <w:sz w:val="21"/>
                <w:szCs w:val="21"/>
                <w:u w:val="none"/>
                <w:vertAlign w:val="baseline"/>
                <w:lang w:val="en-US" w:eastAsia="zh-CN"/>
              </w:rPr>
            </w:pPr>
          </w:p>
        </w:tc>
        <w:tc>
          <w:tcPr>
            <w:tcW w:w="1515" w:type="dxa"/>
            <w:vAlign w:val="top"/>
          </w:tcPr>
          <w:p>
            <w:pPr>
              <w:spacing w:line="600" w:lineRule="exact"/>
              <w:rPr>
                <w:rFonts w:hint="eastAsia" w:ascii="黑体" w:hAnsi="黑体" w:eastAsia="黑体" w:cs="黑体"/>
                <w:sz w:val="21"/>
                <w:szCs w:val="21"/>
                <w:u w:val="none"/>
                <w:vertAlign w:val="baseline"/>
                <w:lang w:val="en-US" w:eastAsia="zh-CN"/>
              </w:rPr>
            </w:pPr>
          </w:p>
        </w:tc>
        <w:tc>
          <w:tcPr>
            <w:tcW w:w="2453" w:type="dxa"/>
            <w:vAlign w:val="top"/>
          </w:tcPr>
          <w:p>
            <w:pPr>
              <w:spacing w:line="600" w:lineRule="exact"/>
              <w:rPr>
                <w:rFonts w:hint="eastAsia" w:ascii="黑体" w:hAnsi="黑体" w:eastAsia="黑体" w:cs="黑体"/>
                <w:sz w:val="21"/>
                <w:szCs w:val="21"/>
                <w:u w:val="none"/>
                <w:vertAlign w:val="baseline"/>
                <w:lang w:val="en-US" w:eastAsia="zh-CN"/>
              </w:rPr>
            </w:pPr>
          </w:p>
        </w:tc>
        <w:tc>
          <w:tcPr>
            <w:tcW w:w="2021" w:type="dxa"/>
            <w:vAlign w:val="top"/>
          </w:tcPr>
          <w:p>
            <w:pPr>
              <w:spacing w:line="600" w:lineRule="exact"/>
              <w:rPr>
                <w:rFonts w:hint="eastAsia" w:ascii="黑体" w:hAnsi="黑体" w:eastAsia="黑体" w:cs="黑体"/>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9" w:type="dxa"/>
            <w:vAlign w:val="top"/>
          </w:tcPr>
          <w:p>
            <w:pPr>
              <w:spacing w:line="600" w:lineRule="exact"/>
              <w:rPr>
                <w:rFonts w:hint="eastAsia" w:ascii="黑体" w:hAnsi="黑体" w:eastAsia="黑体" w:cs="黑体"/>
                <w:sz w:val="21"/>
                <w:szCs w:val="21"/>
                <w:u w:val="none"/>
                <w:vertAlign w:val="baseline"/>
                <w:lang w:val="en-US" w:eastAsia="zh-CN"/>
              </w:rPr>
            </w:pPr>
          </w:p>
        </w:tc>
        <w:tc>
          <w:tcPr>
            <w:tcW w:w="1515" w:type="dxa"/>
            <w:vAlign w:val="top"/>
          </w:tcPr>
          <w:p>
            <w:pPr>
              <w:spacing w:line="600" w:lineRule="exact"/>
              <w:rPr>
                <w:rFonts w:hint="eastAsia" w:ascii="黑体" w:hAnsi="黑体" w:eastAsia="黑体" w:cs="黑体"/>
                <w:sz w:val="21"/>
                <w:szCs w:val="21"/>
                <w:u w:val="none"/>
                <w:vertAlign w:val="baseline"/>
                <w:lang w:val="en-US" w:eastAsia="zh-CN"/>
              </w:rPr>
            </w:pPr>
          </w:p>
        </w:tc>
        <w:tc>
          <w:tcPr>
            <w:tcW w:w="2453" w:type="dxa"/>
            <w:vAlign w:val="top"/>
          </w:tcPr>
          <w:p>
            <w:pPr>
              <w:spacing w:line="600" w:lineRule="exact"/>
              <w:rPr>
                <w:rFonts w:hint="eastAsia" w:ascii="黑体" w:hAnsi="黑体" w:eastAsia="黑体" w:cs="黑体"/>
                <w:sz w:val="21"/>
                <w:szCs w:val="21"/>
                <w:u w:val="none"/>
                <w:vertAlign w:val="baseline"/>
                <w:lang w:val="en-US" w:eastAsia="zh-CN"/>
              </w:rPr>
            </w:pPr>
          </w:p>
        </w:tc>
        <w:tc>
          <w:tcPr>
            <w:tcW w:w="2021" w:type="dxa"/>
            <w:vAlign w:val="top"/>
          </w:tcPr>
          <w:p>
            <w:pPr>
              <w:spacing w:line="600" w:lineRule="exact"/>
              <w:rPr>
                <w:rFonts w:hint="eastAsia" w:ascii="黑体" w:hAnsi="黑体" w:eastAsia="黑体" w:cs="黑体"/>
                <w:sz w:val="21"/>
                <w:szCs w:val="21"/>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pPr>
    </w:p>
    <w:p>
      <w:pPr>
        <w:jc w:val="center"/>
        <w:rPr>
          <w:rFonts w:hint="eastAsia"/>
          <w:b/>
          <w:bCs/>
          <w:sz w:val="44"/>
          <w:szCs w:val="44"/>
          <w:lang w:eastAsia="zh-CN"/>
        </w:rPr>
      </w:pPr>
      <w:r>
        <w:rPr>
          <w:rFonts w:hint="eastAsia"/>
          <w:b/>
          <w:bCs/>
          <w:sz w:val="44"/>
          <w:szCs w:val="44"/>
          <w:lang w:eastAsia="zh-CN"/>
        </w:rPr>
        <w:t>农村集体</w:t>
      </w:r>
      <w:r>
        <w:rPr>
          <w:rFonts w:hint="eastAsia"/>
          <w:b/>
          <w:bCs/>
          <w:sz w:val="44"/>
          <w:szCs w:val="44"/>
          <w:lang w:val="en-US" w:eastAsia="zh-CN"/>
        </w:rPr>
        <w:t>资产盘盈盘亏审批</w:t>
      </w:r>
      <w:r>
        <w:rPr>
          <w:rFonts w:hint="eastAsia"/>
          <w:b/>
          <w:bCs/>
          <w:sz w:val="44"/>
          <w:szCs w:val="44"/>
          <w:lang w:eastAsia="zh-CN"/>
        </w:rPr>
        <w:t>表</w:t>
      </w:r>
    </w:p>
    <w:tbl>
      <w:tblPr>
        <w:tblStyle w:val="10"/>
        <w:tblpPr w:leftFromText="180" w:rightFromText="180" w:vertAnchor="page" w:horzAnchor="page" w:tblpX="1702" w:tblpY="3163"/>
        <w:tblOverlap w:val="never"/>
        <w:tblW w:w="8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1380"/>
        <w:gridCol w:w="930"/>
        <w:gridCol w:w="990"/>
        <w:gridCol w:w="1020"/>
        <w:gridCol w:w="960"/>
        <w:gridCol w:w="960"/>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225" w:type="dxa"/>
            <w:vAlign w:val="center"/>
          </w:tcPr>
          <w:p>
            <w:pPr>
              <w:jc w:val="center"/>
              <w:rPr>
                <w:rFonts w:hint="eastAsia" w:eastAsia="宋体"/>
                <w:vertAlign w:val="baseline"/>
                <w:lang w:eastAsia="zh-CN"/>
              </w:rPr>
            </w:pPr>
            <w:r>
              <w:rPr>
                <w:rFonts w:hint="eastAsia"/>
                <w:vertAlign w:val="baseline"/>
                <w:lang w:eastAsia="zh-CN"/>
              </w:rPr>
              <w:t>会计科目</w:t>
            </w:r>
          </w:p>
        </w:tc>
        <w:tc>
          <w:tcPr>
            <w:tcW w:w="1380" w:type="dxa"/>
            <w:vAlign w:val="center"/>
          </w:tcPr>
          <w:p>
            <w:pPr>
              <w:jc w:val="center"/>
              <w:rPr>
                <w:rFonts w:hint="eastAsia" w:eastAsia="宋体"/>
                <w:vertAlign w:val="baseline"/>
                <w:lang w:eastAsia="zh-CN"/>
              </w:rPr>
            </w:pPr>
            <w:r>
              <w:rPr>
                <w:rFonts w:hint="eastAsia"/>
                <w:vertAlign w:val="baseline"/>
                <w:lang w:eastAsia="zh-CN"/>
              </w:rPr>
              <w:t>资产名称</w:t>
            </w:r>
          </w:p>
        </w:tc>
        <w:tc>
          <w:tcPr>
            <w:tcW w:w="930" w:type="dxa"/>
            <w:vAlign w:val="center"/>
          </w:tcPr>
          <w:p>
            <w:pPr>
              <w:jc w:val="center"/>
              <w:rPr>
                <w:rFonts w:hint="eastAsia"/>
                <w:vertAlign w:val="baseline"/>
                <w:lang w:eastAsia="zh-CN"/>
              </w:rPr>
            </w:pPr>
            <w:r>
              <w:rPr>
                <w:rFonts w:hint="eastAsia"/>
                <w:vertAlign w:val="baseline"/>
                <w:lang w:eastAsia="zh-CN"/>
              </w:rPr>
              <w:t>构建</w:t>
            </w:r>
          </w:p>
          <w:p>
            <w:pPr>
              <w:jc w:val="center"/>
              <w:rPr>
                <w:rFonts w:hint="eastAsia" w:eastAsia="宋体"/>
                <w:vertAlign w:val="baseline"/>
                <w:lang w:eastAsia="zh-CN"/>
              </w:rPr>
            </w:pPr>
            <w:r>
              <w:rPr>
                <w:rFonts w:hint="eastAsia"/>
                <w:vertAlign w:val="baseline"/>
                <w:lang w:eastAsia="zh-CN"/>
              </w:rPr>
              <w:t>时间</w:t>
            </w:r>
          </w:p>
        </w:tc>
        <w:tc>
          <w:tcPr>
            <w:tcW w:w="990" w:type="dxa"/>
            <w:vAlign w:val="center"/>
          </w:tcPr>
          <w:p>
            <w:pPr>
              <w:jc w:val="center"/>
              <w:rPr>
                <w:rFonts w:hint="eastAsia" w:eastAsia="宋体"/>
                <w:vertAlign w:val="baseline"/>
                <w:lang w:eastAsia="zh-CN"/>
              </w:rPr>
            </w:pPr>
            <w:r>
              <w:rPr>
                <w:rFonts w:hint="eastAsia"/>
                <w:vertAlign w:val="baseline"/>
                <w:lang w:eastAsia="zh-CN"/>
              </w:rPr>
              <w:t>账面数</w:t>
            </w:r>
          </w:p>
        </w:tc>
        <w:tc>
          <w:tcPr>
            <w:tcW w:w="1020" w:type="dxa"/>
            <w:vAlign w:val="center"/>
          </w:tcPr>
          <w:p>
            <w:pPr>
              <w:jc w:val="center"/>
              <w:rPr>
                <w:rFonts w:hint="eastAsia"/>
                <w:vertAlign w:val="baseline"/>
                <w:lang w:eastAsia="zh-CN"/>
              </w:rPr>
            </w:pPr>
            <w:r>
              <w:rPr>
                <w:rFonts w:hint="eastAsia"/>
                <w:vertAlign w:val="baseline"/>
                <w:lang w:eastAsia="zh-CN"/>
              </w:rPr>
              <w:t>盘盈数</w:t>
            </w:r>
          </w:p>
        </w:tc>
        <w:tc>
          <w:tcPr>
            <w:tcW w:w="960" w:type="dxa"/>
            <w:vAlign w:val="center"/>
          </w:tcPr>
          <w:p>
            <w:pPr>
              <w:jc w:val="center"/>
              <w:rPr>
                <w:rFonts w:hint="eastAsia"/>
                <w:vertAlign w:val="baseline"/>
                <w:lang w:eastAsia="zh-CN"/>
              </w:rPr>
            </w:pPr>
            <w:r>
              <w:rPr>
                <w:rFonts w:hint="eastAsia"/>
                <w:vertAlign w:val="baseline"/>
                <w:lang w:eastAsia="zh-CN"/>
              </w:rPr>
              <w:t>盘亏数</w:t>
            </w:r>
          </w:p>
        </w:tc>
        <w:tc>
          <w:tcPr>
            <w:tcW w:w="960" w:type="dxa"/>
            <w:vAlign w:val="center"/>
          </w:tcPr>
          <w:p>
            <w:pPr>
              <w:jc w:val="center"/>
              <w:rPr>
                <w:rFonts w:hint="eastAsia"/>
                <w:vertAlign w:val="baseline"/>
                <w:lang w:eastAsia="zh-CN"/>
              </w:rPr>
            </w:pPr>
            <w:r>
              <w:rPr>
                <w:rFonts w:hint="eastAsia"/>
                <w:vertAlign w:val="baseline"/>
                <w:lang w:eastAsia="zh-CN"/>
              </w:rPr>
              <w:t>核实数</w:t>
            </w:r>
          </w:p>
        </w:tc>
        <w:tc>
          <w:tcPr>
            <w:tcW w:w="1220" w:type="dxa"/>
            <w:vAlign w:val="center"/>
          </w:tcPr>
          <w:p>
            <w:pPr>
              <w:jc w:val="center"/>
              <w:rPr>
                <w:rFonts w:hint="eastAsia" w:eastAsia="宋体"/>
                <w:vertAlign w:val="baseline"/>
                <w:lang w:eastAsia="zh-CN"/>
              </w:rPr>
            </w:pPr>
            <w:r>
              <w:rPr>
                <w:rFonts w:hint="eastAsia"/>
                <w:vertAlign w:val="baseline"/>
                <w:lang w:eastAsia="zh-CN"/>
              </w:rPr>
              <w:t>产生原因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25" w:type="dxa"/>
            <w:vAlign w:val="top"/>
          </w:tcPr>
          <w:p>
            <w:pPr>
              <w:rPr>
                <w:vertAlign w:val="baseline"/>
              </w:rPr>
            </w:pPr>
          </w:p>
        </w:tc>
        <w:tc>
          <w:tcPr>
            <w:tcW w:w="1380" w:type="dxa"/>
            <w:vAlign w:val="top"/>
          </w:tcPr>
          <w:p>
            <w:pPr>
              <w:rPr>
                <w:vertAlign w:val="baseline"/>
              </w:rPr>
            </w:pPr>
          </w:p>
        </w:tc>
        <w:tc>
          <w:tcPr>
            <w:tcW w:w="930" w:type="dxa"/>
            <w:vAlign w:val="top"/>
          </w:tcPr>
          <w:p>
            <w:pPr>
              <w:rPr>
                <w:vertAlign w:val="baseline"/>
              </w:rPr>
            </w:pPr>
          </w:p>
        </w:tc>
        <w:tc>
          <w:tcPr>
            <w:tcW w:w="990" w:type="dxa"/>
            <w:vAlign w:val="top"/>
          </w:tcPr>
          <w:p>
            <w:pPr>
              <w:rPr>
                <w:vertAlign w:val="baseline"/>
              </w:rPr>
            </w:pPr>
          </w:p>
        </w:tc>
        <w:tc>
          <w:tcPr>
            <w:tcW w:w="1020" w:type="dxa"/>
            <w:vAlign w:val="top"/>
          </w:tcPr>
          <w:p>
            <w:pPr>
              <w:rPr>
                <w:vertAlign w:val="baseline"/>
              </w:rPr>
            </w:pPr>
          </w:p>
        </w:tc>
        <w:tc>
          <w:tcPr>
            <w:tcW w:w="960" w:type="dxa"/>
            <w:vAlign w:val="top"/>
          </w:tcPr>
          <w:p>
            <w:pPr>
              <w:rPr>
                <w:vertAlign w:val="baseline"/>
              </w:rPr>
            </w:pPr>
          </w:p>
        </w:tc>
        <w:tc>
          <w:tcPr>
            <w:tcW w:w="960" w:type="dxa"/>
            <w:vAlign w:val="top"/>
          </w:tcPr>
          <w:p>
            <w:pPr>
              <w:rPr>
                <w:vertAlign w:val="baseline"/>
              </w:rPr>
            </w:pPr>
          </w:p>
        </w:tc>
        <w:tc>
          <w:tcPr>
            <w:tcW w:w="1220"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25" w:type="dxa"/>
            <w:vAlign w:val="top"/>
          </w:tcPr>
          <w:p>
            <w:pPr>
              <w:rPr>
                <w:vertAlign w:val="baseline"/>
              </w:rPr>
            </w:pPr>
          </w:p>
        </w:tc>
        <w:tc>
          <w:tcPr>
            <w:tcW w:w="1380" w:type="dxa"/>
            <w:vAlign w:val="top"/>
          </w:tcPr>
          <w:p>
            <w:pPr>
              <w:rPr>
                <w:vertAlign w:val="baseline"/>
              </w:rPr>
            </w:pPr>
          </w:p>
        </w:tc>
        <w:tc>
          <w:tcPr>
            <w:tcW w:w="930" w:type="dxa"/>
            <w:vAlign w:val="top"/>
          </w:tcPr>
          <w:p>
            <w:pPr>
              <w:rPr>
                <w:vertAlign w:val="baseline"/>
              </w:rPr>
            </w:pPr>
          </w:p>
        </w:tc>
        <w:tc>
          <w:tcPr>
            <w:tcW w:w="990" w:type="dxa"/>
            <w:vAlign w:val="top"/>
          </w:tcPr>
          <w:p>
            <w:pPr>
              <w:rPr>
                <w:vertAlign w:val="baseline"/>
              </w:rPr>
            </w:pPr>
          </w:p>
        </w:tc>
        <w:tc>
          <w:tcPr>
            <w:tcW w:w="1020" w:type="dxa"/>
            <w:vAlign w:val="top"/>
          </w:tcPr>
          <w:p>
            <w:pPr>
              <w:rPr>
                <w:vertAlign w:val="baseline"/>
              </w:rPr>
            </w:pPr>
          </w:p>
        </w:tc>
        <w:tc>
          <w:tcPr>
            <w:tcW w:w="960" w:type="dxa"/>
            <w:vAlign w:val="top"/>
          </w:tcPr>
          <w:p>
            <w:pPr>
              <w:rPr>
                <w:vertAlign w:val="baseline"/>
              </w:rPr>
            </w:pPr>
          </w:p>
        </w:tc>
        <w:tc>
          <w:tcPr>
            <w:tcW w:w="960" w:type="dxa"/>
            <w:vAlign w:val="top"/>
          </w:tcPr>
          <w:p>
            <w:pPr>
              <w:rPr>
                <w:vertAlign w:val="baseline"/>
              </w:rPr>
            </w:pPr>
          </w:p>
        </w:tc>
        <w:tc>
          <w:tcPr>
            <w:tcW w:w="1220"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25" w:type="dxa"/>
            <w:vAlign w:val="top"/>
          </w:tcPr>
          <w:p>
            <w:pPr>
              <w:rPr>
                <w:vertAlign w:val="baseline"/>
              </w:rPr>
            </w:pPr>
          </w:p>
        </w:tc>
        <w:tc>
          <w:tcPr>
            <w:tcW w:w="1380" w:type="dxa"/>
            <w:vAlign w:val="top"/>
          </w:tcPr>
          <w:p>
            <w:pPr>
              <w:rPr>
                <w:vertAlign w:val="baseline"/>
              </w:rPr>
            </w:pPr>
          </w:p>
        </w:tc>
        <w:tc>
          <w:tcPr>
            <w:tcW w:w="930" w:type="dxa"/>
            <w:vAlign w:val="top"/>
          </w:tcPr>
          <w:p>
            <w:pPr>
              <w:rPr>
                <w:vertAlign w:val="baseline"/>
              </w:rPr>
            </w:pPr>
          </w:p>
        </w:tc>
        <w:tc>
          <w:tcPr>
            <w:tcW w:w="990" w:type="dxa"/>
            <w:vAlign w:val="top"/>
          </w:tcPr>
          <w:p>
            <w:pPr>
              <w:rPr>
                <w:vertAlign w:val="baseline"/>
              </w:rPr>
            </w:pPr>
          </w:p>
        </w:tc>
        <w:tc>
          <w:tcPr>
            <w:tcW w:w="1020" w:type="dxa"/>
            <w:vAlign w:val="top"/>
          </w:tcPr>
          <w:p>
            <w:pPr>
              <w:rPr>
                <w:vertAlign w:val="baseline"/>
              </w:rPr>
            </w:pPr>
          </w:p>
        </w:tc>
        <w:tc>
          <w:tcPr>
            <w:tcW w:w="960" w:type="dxa"/>
            <w:vAlign w:val="top"/>
          </w:tcPr>
          <w:p>
            <w:pPr>
              <w:rPr>
                <w:vertAlign w:val="baseline"/>
              </w:rPr>
            </w:pPr>
          </w:p>
        </w:tc>
        <w:tc>
          <w:tcPr>
            <w:tcW w:w="960" w:type="dxa"/>
            <w:vAlign w:val="top"/>
          </w:tcPr>
          <w:p>
            <w:pPr>
              <w:rPr>
                <w:vertAlign w:val="baseline"/>
              </w:rPr>
            </w:pPr>
          </w:p>
        </w:tc>
        <w:tc>
          <w:tcPr>
            <w:tcW w:w="1220"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25" w:type="dxa"/>
            <w:vAlign w:val="top"/>
          </w:tcPr>
          <w:p>
            <w:pPr>
              <w:rPr>
                <w:vertAlign w:val="baseline"/>
              </w:rPr>
            </w:pPr>
          </w:p>
        </w:tc>
        <w:tc>
          <w:tcPr>
            <w:tcW w:w="1380" w:type="dxa"/>
            <w:vAlign w:val="top"/>
          </w:tcPr>
          <w:p>
            <w:pPr>
              <w:rPr>
                <w:vertAlign w:val="baseline"/>
              </w:rPr>
            </w:pPr>
          </w:p>
        </w:tc>
        <w:tc>
          <w:tcPr>
            <w:tcW w:w="930" w:type="dxa"/>
            <w:vAlign w:val="top"/>
          </w:tcPr>
          <w:p>
            <w:pPr>
              <w:rPr>
                <w:vertAlign w:val="baseline"/>
              </w:rPr>
            </w:pPr>
          </w:p>
        </w:tc>
        <w:tc>
          <w:tcPr>
            <w:tcW w:w="990" w:type="dxa"/>
            <w:vAlign w:val="top"/>
          </w:tcPr>
          <w:p>
            <w:pPr>
              <w:rPr>
                <w:vertAlign w:val="baseline"/>
              </w:rPr>
            </w:pPr>
          </w:p>
        </w:tc>
        <w:tc>
          <w:tcPr>
            <w:tcW w:w="1020" w:type="dxa"/>
            <w:vAlign w:val="top"/>
          </w:tcPr>
          <w:p>
            <w:pPr>
              <w:rPr>
                <w:vertAlign w:val="baseline"/>
              </w:rPr>
            </w:pPr>
          </w:p>
        </w:tc>
        <w:tc>
          <w:tcPr>
            <w:tcW w:w="960" w:type="dxa"/>
            <w:vAlign w:val="top"/>
          </w:tcPr>
          <w:p>
            <w:pPr>
              <w:rPr>
                <w:vertAlign w:val="baseline"/>
              </w:rPr>
            </w:pPr>
          </w:p>
        </w:tc>
        <w:tc>
          <w:tcPr>
            <w:tcW w:w="960" w:type="dxa"/>
            <w:vAlign w:val="top"/>
          </w:tcPr>
          <w:p>
            <w:pPr>
              <w:rPr>
                <w:vertAlign w:val="baseline"/>
              </w:rPr>
            </w:pPr>
          </w:p>
        </w:tc>
        <w:tc>
          <w:tcPr>
            <w:tcW w:w="1220"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25" w:type="dxa"/>
            <w:vAlign w:val="top"/>
          </w:tcPr>
          <w:p>
            <w:pPr>
              <w:rPr>
                <w:vertAlign w:val="baseline"/>
              </w:rPr>
            </w:pPr>
          </w:p>
        </w:tc>
        <w:tc>
          <w:tcPr>
            <w:tcW w:w="1380" w:type="dxa"/>
            <w:vAlign w:val="top"/>
          </w:tcPr>
          <w:p>
            <w:pPr>
              <w:rPr>
                <w:vertAlign w:val="baseline"/>
              </w:rPr>
            </w:pPr>
          </w:p>
        </w:tc>
        <w:tc>
          <w:tcPr>
            <w:tcW w:w="930" w:type="dxa"/>
            <w:vAlign w:val="top"/>
          </w:tcPr>
          <w:p>
            <w:pPr>
              <w:rPr>
                <w:vertAlign w:val="baseline"/>
              </w:rPr>
            </w:pPr>
          </w:p>
        </w:tc>
        <w:tc>
          <w:tcPr>
            <w:tcW w:w="990" w:type="dxa"/>
            <w:vAlign w:val="top"/>
          </w:tcPr>
          <w:p>
            <w:pPr>
              <w:rPr>
                <w:vertAlign w:val="baseline"/>
              </w:rPr>
            </w:pPr>
          </w:p>
        </w:tc>
        <w:tc>
          <w:tcPr>
            <w:tcW w:w="1020" w:type="dxa"/>
            <w:vAlign w:val="top"/>
          </w:tcPr>
          <w:p>
            <w:pPr>
              <w:rPr>
                <w:vertAlign w:val="baseline"/>
              </w:rPr>
            </w:pPr>
          </w:p>
        </w:tc>
        <w:tc>
          <w:tcPr>
            <w:tcW w:w="960" w:type="dxa"/>
            <w:vAlign w:val="top"/>
          </w:tcPr>
          <w:p>
            <w:pPr>
              <w:rPr>
                <w:vertAlign w:val="baseline"/>
              </w:rPr>
            </w:pPr>
          </w:p>
        </w:tc>
        <w:tc>
          <w:tcPr>
            <w:tcW w:w="960" w:type="dxa"/>
            <w:vAlign w:val="top"/>
          </w:tcPr>
          <w:p>
            <w:pPr>
              <w:rPr>
                <w:vertAlign w:val="baseline"/>
              </w:rPr>
            </w:pPr>
          </w:p>
        </w:tc>
        <w:tc>
          <w:tcPr>
            <w:tcW w:w="1220"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25" w:type="dxa"/>
            <w:vAlign w:val="top"/>
          </w:tcPr>
          <w:p>
            <w:pPr>
              <w:rPr>
                <w:vertAlign w:val="baseline"/>
              </w:rPr>
            </w:pPr>
          </w:p>
        </w:tc>
        <w:tc>
          <w:tcPr>
            <w:tcW w:w="1380" w:type="dxa"/>
            <w:vAlign w:val="top"/>
          </w:tcPr>
          <w:p>
            <w:pPr>
              <w:rPr>
                <w:vertAlign w:val="baseline"/>
              </w:rPr>
            </w:pPr>
          </w:p>
        </w:tc>
        <w:tc>
          <w:tcPr>
            <w:tcW w:w="930" w:type="dxa"/>
            <w:vAlign w:val="top"/>
          </w:tcPr>
          <w:p>
            <w:pPr>
              <w:rPr>
                <w:vertAlign w:val="baseline"/>
              </w:rPr>
            </w:pPr>
          </w:p>
        </w:tc>
        <w:tc>
          <w:tcPr>
            <w:tcW w:w="990" w:type="dxa"/>
            <w:vAlign w:val="top"/>
          </w:tcPr>
          <w:p>
            <w:pPr>
              <w:rPr>
                <w:vertAlign w:val="baseline"/>
              </w:rPr>
            </w:pPr>
          </w:p>
        </w:tc>
        <w:tc>
          <w:tcPr>
            <w:tcW w:w="1020" w:type="dxa"/>
            <w:vAlign w:val="top"/>
          </w:tcPr>
          <w:p>
            <w:pPr>
              <w:rPr>
                <w:vertAlign w:val="baseline"/>
              </w:rPr>
            </w:pPr>
          </w:p>
        </w:tc>
        <w:tc>
          <w:tcPr>
            <w:tcW w:w="960" w:type="dxa"/>
            <w:vAlign w:val="top"/>
          </w:tcPr>
          <w:p>
            <w:pPr>
              <w:rPr>
                <w:vertAlign w:val="baseline"/>
              </w:rPr>
            </w:pPr>
          </w:p>
        </w:tc>
        <w:tc>
          <w:tcPr>
            <w:tcW w:w="960" w:type="dxa"/>
            <w:vAlign w:val="top"/>
          </w:tcPr>
          <w:p>
            <w:pPr>
              <w:rPr>
                <w:vertAlign w:val="baseline"/>
              </w:rPr>
            </w:pPr>
          </w:p>
        </w:tc>
        <w:tc>
          <w:tcPr>
            <w:tcW w:w="1220"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25" w:type="dxa"/>
            <w:vAlign w:val="top"/>
          </w:tcPr>
          <w:p>
            <w:pPr>
              <w:rPr>
                <w:vertAlign w:val="baseline"/>
              </w:rPr>
            </w:pPr>
          </w:p>
        </w:tc>
        <w:tc>
          <w:tcPr>
            <w:tcW w:w="1380" w:type="dxa"/>
            <w:vAlign w:val="top"/>
          </w:tcPr>
          <w:p>
            <w:pPr>
              <w:rPr>
                <w:vertAlign w:val="baseline"/>
              </w:rPr>
            </w:pPr>
          </w:p>
        </w:tc>
        <w:tc>
          <w:tcPr>
            <w:tcW w:w="930" w:type="dxa"/>
            <w:vAlign w:val="top"/>
          </w:tcPr>
          <w:p>
            <w:pPr>
              <w:rPr>
                <w:vertAlign w:val="baseline"/>
              </w:rPr>
            </w:pPr>
          </w:p>
        </w:tc>
        <w:tc>
          <w:tcPr>
            <w:tcW w:w="990" w:type="dxa"/>
            <w:vAlign w:val="top"/>
          </w:tcPr>
          <w:p>
            <w:pPr>
              <w:rPr>
                <w:vertAlign w:val="baseline"/>
              </w:rPr>
            </w:pPr>
          </w:p>
        </w:tc>
        <w:tc>
          <w:tcPr>
            <w:tcW w:w="1020" w:type="dxa"/>
            <w:vAlign w:val="top"/>
          </w:tcPr>
          <w:p>
            <w:pPr>
              <w:rPr>
                <w:vertAlign w:val="baseline"/>
              </w:rPr>
            </w:pPr>
          </w:p>
        </w:tc>
        <w:tc>
          <w:tcPr>
            <w:tcW w:w="960" w:type="dxa"/>
            <w:vAlign w:val="top"/>
          </w:tcPr>
          <w:p>
            <w:pPr>
              <w:rPr>
                <w:vertAlign w:val="baseline"/>
              </w:rPr>
            </w:pPr>
          </w:p>
        </w:tc>
        <w:tc>
          <w:tcPr>
            <w:tcW w:w="960" w:type="dxa"/>
            <w:vAlign w:val="top"/>
          </w:tcPr>
          <w:p>
            <w:pPr>
              <w:rPr>
                <w:vertAlign w:val="baseline"/>
              </w:rPr>
            </w:pPr>
          </w:p>
        </w:tc>
        <w:tc>
          <w:tcPr>
            <w:tcW w:w="1220"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25" w:type="dxa"/>
            <w:vAlign w:val="top"/>
          </w:tcPr>
          <w:p>
            <w:pPr>
              <w:rPr>
                <w:vertAlign w:val="baseline"/>
              </w:rPr>
            </w:pPr>
          </w:p>
        </w:tc>
        <w:tc>
          <w:tcPr>
            <w:tcW w:w="1380" w:type="dxa"/>
            <w:vAlign w:val="top"/>
          </w:tcPr>
          <w:p>
            <w:pPr>
              <w:rPr>
                <w:vertAlign w:val="baseline"/>
              </w:rPr>
            </w:pPr>
          </w:p>
        </w:tc>
        <w:tc>
          <w:tcPr>
            <w:tcW w:w="930" w:type="dxa"/>
            <w:vAlign w:val="top"/>
          </w:tcPr>
          <w:p>
            <w:pPr>
              <w:rPr>
                <w:vertAlign w:val="baseline"/>
              </w:rPr>
            </w:pPr>
          </w:p>
        </w:tc>
        <w:tc>
          <w:tcPr>
            <w:tcW w:w="990" w:type="dxa"/>
            <w:vAlign w:val="top"/>
          </w:tcPr>
          <w:p>
            <w:pPr>
              <w:rPr>
                <w:vertAlign w:val="baseline"/>
              </w:rPr>
            </w:pPr>
          </w:p>
        </w:tc>
        <w:tc>
          <w:tcPr>
            <w:tcW w:w="1020" w:type="dxa"/>
            <w:vAlign w:val="top"/>
          </w:tcPr>
          <w:p>
            <w:pPr>
              <w:rPr>
                <w:vertAlign w:val="baseline"/>
              </w:rPr>
            </w:pPr>
          </w:p>
        </w:tc>
        <w:tc>
          <w:tcPr>
            <w:tcW w:w="960" w:type="dxa"/>
            <w:vAlign w:val="top"/>
          </w:tcPr>
          <w:p>
            <w:pPr>
              <w:rPr>
                <w:vertAlign w:val="baseline"/>
              </w:rPr>
            </w:pPr>
          </w:p>
        </w:tc>
        <w:tc>
          <w:tcPr>
            <w:tcW w:w="960" w:type="dxa"/>
            <w:vAlign w:val="top"/>
          </w:tcPr>
          <w:p>
            <w:pPr>
              <w:rPr>
                <w:vertAlign w:val="baseline"/>
              </w:rPr>
            </w:pPr>
          </w:p>
        </w:tc>
        <w:tc>
          <w:tcPr>
            <w:tcW w:w="1220"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3535" w:type="dxa"/>
            <w:gridSpan w:val="3"/>
            <w:vAlign w:val="center"/>
          </w:tcPr>
          <w:p>
            <w:pPr>
              <w:jc w:val="center"/>
              <w:rPr>
                <w:vertAlign w:val="baseline"/>
              </w:rPr>
            </w:pPr>
            <w:r>
              <w:rPr>
                <w:rFonts w:hint="eastAsia"/>
                <w:vertAlign w:val="baseline"/>
                <w:lang w:eastAsia="zh-CN"/>
              </w:rPr>
              <w:t>合计</w:t>
            </w:r>
          </w:p>
        </w:tc>
        <w:tc>
          <w:tcPr>
            <w:tcW w:w="990" w:type="dxa"/>
            <w:vAlign w:val="top"/>
          </w:tcPr>
          <w:p>
            <w:pPr>
              <w:rPr>
                <w:vertAlign w:val="baseline"/>
              </w:rPr>
            </w:pPr>
          </w:p>
        </w:tc>
        <w:tc>
          <w:tcPr>
            <w:tcW w:w="1020" w:type="dxa"/>
            <w:vAlign w:val="top"/>
          </w:tcPr>
          <w:p>
            <w:pPr>
              <w:rPr>
                <w:vertAlign w:val="baseline"/>
              </w:rPr>
            </w:pPr>
          </w:p>
        </w:tc>
        <w:tc>
          <w:tcPr>
            <w:tcW w:w="960" w:type="dxa"/>
            <w:vAlign w:val="top"/>
          </w:tcPr>
          <w:p>
            <w:pPr>
              <w:rPr>
                <w:vertAlign w:val="baseline"/>
              </w:rPr>
            </w:pPr>
          </w:p>
        </w:tc>
        <w:tc>
          <w:tcPr>
            <w:tcW w:w="960" w:type="dxa"/>
            <w:vAlign w:val="top"/>
          </w:tcPr>
          <w:p>
            <w:pPr>
              <w:rPr>
                <w:vertAlign w:val="baseline"/>
              </w:rPr>
            </w:pPr>
          </w:p>
        </w:tc>
        <w:tc>
          <w:tcPr>
            <w:tcW w:w="1220" w:type="dxa"/>
            <w:vAlign w:val="top"/>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8" w:hRule="atLeast"/>
        </w:trPr>
        <w:tc>
          <w:tcPr>
            <w:tcW w:w="1225" w:type="dxa"/>
            <w:vAlign w:val="center"/>
          </w:tcPr>
          <w:p>
            <w:pPr>
              <w:jc w:val="center"/>
              <w:rPr>
                <w:rFonts w:hint="eastAsia"/>
                <w:vertAlign w:val="baseline"/>
                <w:lang w:eastAsia="zh-CN"/>
              </w:rPr>
            </w:pPr>
            <w:r>
              <w:rPr>
                <w:rFonts w:hint="eastAsia"/>
                <w:vertAlign w:val="baseline"/>
                <w:lang w:eastAsia="zh-CN"/>
              </w:rPr>
              <w:t>村清产核资小组意见</w:t>
            </w:r>
          </w:p>
        </w:tc>
        <w:tc>
          <w:tcPr>
            <w:tcW w:w="7460" w:type="dxa"/>
            <w:gridSpan w:val="7"/>
            <w:vAlign w:val="top"/>
          </w:tcPr>
          <w:p>
            <w:pPr>
              <w:rPr>
                <w:vertAlign w:val="baseline"/>
              </w:rPr>
            </w:pPr>
          </w:p>
          <w:p>
            <w:pPr>
              <w:rPr>
                <w:vertAlign w:val="baseline"/>
              </w:rPr>
            </w:pPr>
          </w:p>
          <w:p>
            <w:pPr>
              <w:rPr>
                <w:rFonts w:hint="eastAsia" w:eastAsia="宋体"/>
                <w:vertAlign w:val="baseline"/>
                <w:lang w:eastAsia="zh-CN"/>
              </w:rPr>
            </w:pPr>
            <w:r>
              <w:rPr>
                <w:rFonts w:hint="eastAsia"/>
                <w:vertAlign w:val="baseline"/>
                <w:lang w:eastAsia="zh-CN"/>
              </w:rPr>
              <w:t>清产核资小组意见：</w:t>
            </w:r>
          </w:p>
          <w:p>
            <w:pPr>
              <w:rPr>
                <w:rFonts w:hint="eastAsia"/>
                <w:vertAlign w:val="baseline"/>
                <w:lang w:eastAsia="zh-CN"/>
              </w:rPr>
            </w:pPr>
          </w:p>
          <w:p>
            <w:pPr>
              <w:rPr>
                <w:rFonts w:hint="eastAsia"/>
                <w:vertAlign w:val="baseline"/>
                <w:lang w:eastAsia="zh-CN"/>
              </w:rPr>
            </w:pPr>
          </w:p>
          <w:p>
            <w:pPr>
              <w:rPr>
                <w:rFonts w:hint="eastAsia"/>
                <w:vertAlign w:val="baseline"/>
                <w:lang w:val="en-US" w:eastAsia="zh-CN"/>
              </w:rPr>
            </w:pPr>
            <w:r>
              <w:rPr>
                <w:rFonts w:hint="eastAsia"/>
                <w:vertAlign w:val="baseline"/>
                <w:lang w:eastAsia="zh-CN"/>
              </w:rPr>
              <w:t>清产核资小组：（签字）</w:t>
            </w:r>
            <w:r>
              <w:rPr>
                <w:rFonts w:hint="eastAsia"/>
                <w:vertAlign w:val="baseline"/>
                <w:lang w:val="en-US" w:eastAsia="zh-CN"/>
              </w:rPr>
              <w:t xml:space="preserve">                  </w:t>
            </w:r>
          </w:p>
          <w:p>
            <w:pPr>
              <w:rPr>
                <w:rFonts w:hint="eastAsia"/>
                <w:vertAlign w:val="baseline"/>
                <w:lang w:val="en-US" w:eastAsia="zh-CN"/>
              </w:rPr>
            </w:pPr>
          </w:p>
          <w:p>
            <w:pPr>
              <w:ind w:firstLine="4200" w:firstLineChars="2000"/>
              <w:rPr>
                <w:rFonts w:hint="eastAsia"/>
                <w:vertAlign w:val="baseline"/>
                <w:lang w:val="en-US" w:eastAsia="zh-CN"/>
              </w:rPr>
            </w:pPr>
            <w:r>
              <w:rPr>
                <w:rFonts w:hint="eastAsia"/>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trPr>
        <w:tc>
          <w:tcPr>
            <w:tcW w:w="1225" w:type="dxa"/>
            <w:vAlign w:val="center"/>
          </w:tcPr>
          <w:p>
            <w:pPr>
              <w:jc w:val="center"/>
              <w:rPr>
                <w:rFonts w:hint="eastAsia"/>
                <w:vertAlign w:val="baseline"/>
                <w:lang w:eastAsia="zh-CN"/>
              </w:rPr>
            </w:pPr>
            <w:r>
              <w:rPr>
                <w:rFonts w:hint="eastAsia"/>
                <w:vertAlign w:val="baseline"/>
                <w:lang w:eastAsia="zh-CN"/>
              </w:rPr>
              <w:t>村集体经济组织</w:t>
            </w:r>
          </w:p>
          <w:p>
            <w:pPr>
              <w:jc w:val="center"/>
              <w:rPr>
                <w:rFonts w:hint="eastAsia"/>
                <w:vertAlign w:val="baseline"/>
                <w:lang w:eastAsia="zh-CN"/>
              </w:rPr>
            </w:pPr>
            <w:r>
              <w:rPr>
                <w:rFonts w:hint="eastAsia"/>
                <w:vertAlign w:val="baseline"/>
                <w:lang w:eastAsia="zh-CN"/>
              </w:rPr>
              <w:t>意见</w:t>
            </w:r>
          </w:p>
          <w:p>
            <w:pPr>
              <w:jc w:val="center"/>
              <w:rPr>
                <w:rFonts w:hint="eastAsia"/>
                <w:vertAlign w:val="baseline"/>
                <w:lang w:eastAsia="zh-CN"/>
              </w:rPr>
            </w:pPr>
          </w:p>
        </w:tc>
        <w:tc>
          <w:tcPr>
            <w:tcW w:w="7460" w:type="dxa"/>
            <w:gridSpan w:val="7"/>
            <w:vAlign w:val="top"/>
          </w:tcPr>
          <w:p>
            <w:pPr>
              <w:rPr>
                <w:vertAlign w:val="baseline"/>
              </w:rPr>
            </w:pPr>
          </w:p>
          <w:p>
            <w:pPr>
              <w:rPr>
                <w:vertAlign w:val="baseline"/>
              </w:rPr>
            </w:pPr>
          </w:p>
          <w:p>
            <w:pPr>
              <w:rPr>
                <w:vertAlign w:val="baseline"/>
              </w:rPr>
            </w:pPr>
          </w:p>
          <w:p>
            <w:pPr>
              <w:ind w:firstLine="840" w:firstLineChars="400"/>
              <w:rPr>
                <w:rFonts w:hint="eastAsia"/>
                <w:vertAlign w:val="baseline"/>
                <w:lang w:eastAsia="zh-CN"/>
              </w:rPr>
            </w:pPr>
            <w:r>
              <w:rPr>
                <w:rFonts w:hint="eastAsia"/>
                <w:vertAlign w:val="baseline"/>
                <w:lang w:eastAsia="zh-CN"/>
              </w:rPr>
              <w:t>（盖章）</w:t>
            </w:r>
            <w:r>
              <w:rPr>
                <w:rFonts w:hint="eastAsia"/>
                <w:vertAlign w:val="baseline"/>
                <w:lang w:val="en-US" w:eastAsia="zh-CN"/>
              </w:rPr>
              <w:t xml:space="preserve">                       负责人</w:t>
            </w:r>
            <w:r>
              <w:rPr>
                <w:rFonts w:hint="eastAsia"/>
                <w:vertAlign w:val="baseline"/>
                <w:lang w:eastAsia="zh-CN"/>
              </w:rPr>
              <w:t>：（签字）</w:t>
            </w:r>
          </w:p>
          <w:p>
            <w:pPr>
              <w:rPr>
                <w:rFonts w:hint="eastAsia"/>
                <w:vertAlign w:val="baseline"/>
                <w:lang w:val="en-US" w:eastAsia="zh-CN"/>
              </w:rPr>
            </w:pPr>
          </w:p>
          <w:p>
            <w:pPr>
              <w:ind w:firstLine="4200" w:firstLineChars="2000"/>
              <w:rPr>
                <w:rFonts w:hint="eastAsia"/>
                <w:vertAlign w:val="baseline"/>
                <w:lang w:eastAsia="zh-CN"/>
              </w:rPr>
            </w:pPr>
            <w:r>
              <w:rPr>
                <w:rFonts w:hint="eastAsia"/>
                <w:vertAlign w:val="baseline"/>
                <w:lang w:val="en-US" w:eastAsia="zh-CN"/>
              </w:rPr>
              <w:t>年   月   日</w:t>
            </w:r>
          </w:p>
          <w:p>
            <w:pP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3" w:hRule="atLeast"/>
        </w:trPr>
        <w:tc>
          <w:tcPr>
            <w:tcW w:w="1225" w:type="dxa"/>
            <w:vAlign w:val="center"/>
          </w:tcPr>
          <w:p>
            <w:pPr>
              <w:jc w:val="center"/>
              <w:rPr>
                <w:rFonts w:hint="eastAsia"/>
                <w:vertAlign w:val="baseline"/>
                <w:lang w:eastAsia="zh-CN"/>
              </w:rPr>
            </w:pPr>
            <w:r>
              <w:rPr>
                <w:rFonts w:hint="eastAsia"/>
                <w:vertAlign w:val="baseline"/>
                <w:lang w:eastAsia="zh-CN"/>
              </w:rPr>
              <w:t>乡（镇）农经管理机构意见</w:t>
            </w:r>
          </w:p>
          <w:p>
            <w:pPr>
              <w:jc w:val="center"/>
              <w:rPr>
                <w:rFonts w:hint="eastAsia"/>
                <w:vertAlign w:val="baseline"/>
                <w:lang w:eastAsia="zh-CN"/>
              </w:rPr>
            </w:pPr>
          </w:p>
        </w:tc>
        <w:tc>
          <w:tcPr>
            <w:tcW w:w="7460" w:type="dxa"/>
            <w:gridSpan w:val="7"/>
            <w:vAlign w:val="top"/>
          </w:tcPr>
          <w:p>
            <w:pPr>
              <w:rPr>
                <w:vertAlign w:val="baseline"/>
              </w:rPr>
            </w:pPr>
          </w:p>
          <w:p>
            <w:pPr>
              <w:rPr>
                <w:vertAlign w:val="baseline"/>
              </w:rPr>
            </w:pPr>
          </w:p>
          <w:p>
            <w:pPr>
              <w:rPr>
                <w:vertAlign w:val="baseline"/>
              </w:rPr>
            </w:pPr>
          </w:p>
          <w:p>
            <w:pPr>
              <w:ind w:firstLine="840" w:firstLineChars="400"/>
              <w:rPr>
                <w:rFonts w:hint="eastAsia"/>
                <w:vertAlign w:val="baseline"/>
                <w:lang w:eastAsia="zh-CN"/>
              </w:rPr>
            </w:pPr>
            <w:r>
              <w:rPr>
                <w:rFonts w:hint="eastAsia"/>
                <w:vertAlign w:val="baseline"/>
                <w:lang w:eastAsia="zh-CN"/>
              </w:rPr>
              <w:t>（盖章）</w:t>
            </w:r>
            <w:r>
              <w:rPr>
                <w:rFonts w:hint="eastAsia"/>
                <w:vertAlign w:val="baseline"/>
                <w:lang w:val="en-US" w:eastAsia="zh-CN"/>
              </w:rPr>
              <w:t xml:space="preserve">                    </w:t>
            </w:r>
            <w:r>
              <w:rPr>
                <w:rFonts w:hint="eastAsia"/>
                <w:vertAlign w:val="baseline"/>
                <w:lang w:eastAsia="zh-CN"/>
              </w:rPr>
              <w:t>审核人：（签字）</w:t>
            </w:r>
            <w:r>
              <w:rPr>
                <w:rFonts w:hint="eastAsia"/>
                <w:vertAlign w:val="baseline"/>
                <w:lang w:val="en-US" w:eastAsia="zh-CN"/>
              </w:rPr>
              <w:t xml:space="preserve">                           </w:t>
            </w:r>
          </w:p>
          <w:p>
            <w:pPr>
              <w:rPr>
                <w:rFonts w:hint="eastAsia"/>
                <w:vertAlign w:val="baseline"/>
                <w:lang w:eastAsia="zh-CN"/>
              </w:rPr>
            </w:pPr>
          </w:p>
          <w:p>
            <w:pPr>
              <w:ind w:firstLine="4200" w:firstLineChars="2000"/>
              <w:rPr>
                <w:rFonts w:hint="eastAsia"/>
                <w:vertAlign w:val="baseline"/>
                <w:lang w:eastAsia="zh-CN"/>
              </w:rPr>
            </w:pPr>
            <w:r>
              <w:rPr>
                <w:rFonts w:hint="eastAsia"/>
                <w:vertAlign w:val="baseline"/>
                <w:lang w:val="en-US" w:eastAsia="zh-CN"/>
              </w:rPr>
              <w:t>年   月   日</w:t>
            </w:r>
          </w:p>
          <w:p>
            <w:pPr>
              <w:rPr>
                <w:rFonts w:hint="eastAsia"/>
                <w:vertAlign w:val="baseline"/>
                <w:lang w:eastAsia="zh-CN"/>
              </w:rPr>
            </w:pPr>
          </w:p>
        </w:tc>
      </w:tr>
    </w:tbl>
    <w:p>
      <w:pPr>
        <w:jc w:val="both"/>
        <w:rPr>
          <w:rFonts w:hint="eastAsia"/>
          <w:b/>
          <w:bCs/>
          <w:sz w:val="44"/>
          <w:szCs w:val="44"/>
          <w:lang w:eastAsia="zh-CN"/>
        </w:rPr>
      </w:pPr>
      <w:r>
        <w:rPr>
          <w:rFonts w:hint="eastAsia"/>
          <w:sz w:val="28"/>
          <w:szCs w:val="28"/>
          <w:lang w:val="en-US" w:eastAsia="zh-CN"/>
        </w:rPr>
        <w:t>申报单位：                                     年    月    日</w:t>
      </w:r>
    </w:p>
    <w:p>
      <w:pPr>
        <w:jc w:val="center"/>
        <w:rPr>
          <w:b/>
          <w:bCs/>
          <w:sz w:val="44"/>
          <w:szCs w:val="44"/>
        </w:rPr>
      </w:pPr>
      <w:r>
        <w:rPr>
          <w:rFonts w:hint="eastAsia"/>
          <w:b/>
          <w:bCs/>
          <w:sz w:val="44"/>
          <w:szCs w:val="44"/>
          <w:lang w:eastAsia="zh-CN"/>
        </w:rPr>
        <w:t>农村集体资产</w:t>
      </w:r>
      <w:r>
        <w:rPr>
          <w:rFonts w:hint="eastAsia"/>
          <w:b/>
          <w:bCs/>
          <w:sz w:val="44"/>
          <w:szCs w:val="44"/>
        </w:rPr>
        <w:t>核销审批表</w:t>
      </w:r>
    </w:p>
    <w:p>
      <w:pPr>
        <w:rPr>
          <w:sz w:val="24"/>
          <w:szCs w:val="24"/>
        </w:rPr>
      </w:pPr>
    </w:p>
    <w:p>
      <w:pPr>
        <w:rPr>
          <w:sz w:val="24"/>
          <w:szCs w:val="24"/>
        </w:rPr>
      </w:pPr>
      <w:r>
        <w:rPr>
          <w:rFonts w:hint="eastAsia"/>
          <w:sz w:val="24"/>
          <w:szCs w:val="24"/>
        </w:rPr>
        <w:t>填报单位：                            年   月   日</w:t>
      </w:r>
    </w:p>
    <w:tbl>
      <w:tblPr>
        <w:tblStyle w:val="10"/>
        <w:tblpPr w:leftFromText="180" w:rightFromText="180" w:vertAnchor="text" w:horzAnchor="page" w:tblpX="1665" w:tblpY="195"/>
        <w:tblOverlap w:val="never"/>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948"/>
        <w:gridCol w:w="1176"/>
        <w:gridCol w:w="932"/>
        <w:gridCol w:w="1133"/>
        <w:gridCol w:w="903"/>
        <w:gridCol w:w="102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18" w:type="dxa"/>
            <w:vAlign w:val="center"/>
          </w:tcPr>
          <w:p>
            <w:pPr>
              <w:jc w:val="center"/>
              <w:rPr>
                <w:sz w:val="24"/>
                <w:szCs w:val="24"/>
              </w:rPr>
            </w:pPr>
            <w:r>
              <w:rPr>
                <w:rFonts w:hint="eastAsia"/>
                <w:sz w:val="24"/>
                <w:szCs w:val="24"/>
              </w:rPr>
              <w:t>资产名称</w:t>
            </w:r>
          </w:p>
        </w:tc>
        <w:tc>
          <w:tcPr>
            <w:tcW w:w="948" w:type="dxa"/>
            <w:vAlign w:val="center"/>
          </w:tcPr>
          <w:p>
            <w:pPr>
              <w:jc w:val="center"/>
              <w:rPr>
                <w:sz w:val="24"/>
                <w:szCs w:val="24"/>
              </w:rPr>
            </w:pPr>
          </w:p>
        </w:tc>
        <w:tc>
          <w:tcPr>
            <w:tcW w:w="1176" w:type="dxa"/>
            <w:vAlign w:val="center"/>
          </w:tcPr>
          <w:p>
            <w:pPr>
              <w:jc w:val="center"/>
              <w:rPr>
                <w:sz w:val="24"/>
                <w:szCs w:val="24"/>
              </w:rPr>
            </w:pPr>
            <w:r>
              <w:rPr>
                <w:rFonts w:hint="eastAsia"/>
                <w:sz w:val="24"/>
                <w:szCs w:val="24"/>
              </w:rPr>
              <w:t>所在村组</w:t>
            </w:r>
          </w:p>
        </w:tc>
        <w:tc>
          <w:tcPr>
            <w:tcW w:w="932" w:type="dxa"/>
            <w:vAlign w:val="center"/>
          </w:tcPr>
          <w:p>
            <w:pPr>
              <w:jc w:val="center"/>
              <w:rPr>
                <w:sz w:val="24"/>
                <w:szCs w:val="24"/>
              </w:rPr>
            </w:pPr>
          </w:p>
        </w:tc>
        <w:tc>
          <w:tcPr>
            <w:tcW w:w="1133" w:type="dxa"/>
            <w:vAlign w:val="center"/>
          </w:tcPr>
          <w:p>
            <w:pPr>
              <w:jc w:val="center"/>
              <w:rPr>
                <w:sz w:val="24"/>
                <w:szCs w:val="24"/>
              </w:rPr>
            </w:pPr>
            <w:r>
              <w:rPr>
                <w:rFonts w:hint="eastAsia"/>
                <w:sz w:val="24"/>
                <w:szCs w:val="24"/>
              </w:rPr>
              <w:t>单位</w:t>
            </w:r>
          </w:p>
        </w:tc>
        <w:tc>
          <w:tcPr>
            <w:tcW w:w="903" w:type="dxa"/>
            <w:vAlign w:val="center"/>
          </w:tcPr>
          <w:p>
            <w:pPr>
              <w:jc w:val="center"/>
              <w:rPr>
                <w:sz w:val="24"/>
                <w:szCs w:val="24"/>
              </w:rPr>
            </w:pPr>
          </w:p>
        </w:tc>
        <w:tc>
          <w:tcPr>
            <w:tcW w:w="1020" w:type="dxa"/>
            <w:vAlign w:val="center"/>
          </w:tcPr>
          <w:p>
            <w:pPr>
              <w:jc w:val="center"/>
              <w:rPr>
                <w:sz w:val="24"/>
                <w:szCs w:val="24"/>
              </w:rPr>
            </w:pPr>
            <w:r>
              <w:rPr>
                <w:rFonts w:hint="eastAsia"/>
                <w:sz w:val="24"/>
                <w:szCs w:val="24"/>
              </w:rPr>
              <w:t>数量</w:t>
            </w:r>
          </w:p>
        </w:tc>
        <w:tc>
          <w:tcPr>
            <w:tcW w:w="1190"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1318" w:type="dxa"/>
            <w:vAlign w:val="center"/>
          </w:tcPr>
          <w:p>
            <w:pPr>
              <w:jc w:val="center"/>
              <w:rPr>
                <w:sz w:val="24"/>
                <w:szCs w:val="24"/>
              </w:rPr>
            </w:pPr>
            <w:r>
              <w:rPr>
                <w:rFonts w:hint="eastAsia"/>
                <w:sz w:val="24"/>
                <w:szCs w:val="24"/>
              </w:rPr>
              <w:t>构建时间</w:t>
            </w:r>
          </w:p>
        </w:tc>
        <w:tc>
          <w:tcPr>
            <w:tcW w:w="948" w:type="dxa"/>
            <w:vAlign w:val="center"/>
          </w:tcPr>
          <w:p>
            <w:pPr>
              <w:jc w:val="center"/>
              <w:rPr>
                <w:sz w:val="24"/>
                <w:szCs w:val="24"/>
              </w:rPr>
            </w:pPr>
          </w:p>
        </w:tc>
        <w:tc>
          <w:tcPr>
            <w:tcW w:w="1176" w:type="dxa"/>
            <w:vAlign w:val="center"/>
          </w:tcPr>
          <w:p>
            <w:pPr>
              <w:jc w:val="center"/>
              <w:rPr>
                <w:sz w:val="24"/>
                <w:szCs w:val="24"/>
              </w:rPr>
            </w:pPr>
            <w:r>
              <w:rPr>
                <w:rFonts w:hint="eastAsia"/>
                <w:sz w:val="24"/>
                <w:szCs w:val="24"/>
              </w:rPr>
              <w:t>原值</w:t>
            </w:r>
          </w:p>
        </w:tc>
        <w:tc>
          <w:tcPr>
            <w:tcW w:w="932" w:type="dxa"/>
            <w:vAlign w:val="center"/>
          </w:tcPr>
          <w:p>
            <w:pPr>
              <w:jc w:val="center"/>
              <w:rPr>
                <w:sz w:val="24"/>
                <w:szCs w:val="24"/>
              </w:rPr>
            </w:pPr>
          </w:p>
        </w:tc>
        <w:tc>
          <w:tcPr>
            <w:tcW w:w="1133" w:type="dxa"/>
            <w:vAlign w:val="center"/>
          </w:tcPr>
          <w:p>
            <w:pPr>
              <w:jc w:val="center"/>
              <w:rPr>
                <w:sz w:val="24"/>
                <w:szCs w:val="24"/>
              </w:rPr>
            </w:pPr>
            <w:r>
              <w:rPr>
                <w:rFonts w:hint="eastAsia"/>
                <w:sz w:val="24"/>
                <w:szCs w:val="24"/>
              </w:rPr>
              <w:t>已提折旧</w:t>
            </w:r>
          </w:p>
        </w:tc>
        <w:tc>
          <w:tcPr>
            <w:tcW w:w="903" w:type="dxa"/>
            <w:vAlign w:val="center"/>
          </w:tcPr>
          <w:p>
            <w:pPr>
              <w:jc w:val="center"/>
              <w:rPr>
                <w:sz w:val="24"/>
                <w:szCs w:val="24"/>
              </w:rPr>
            </w:pPr>
          </w:p>
        </w:tc>
        <w:tc>
          <w:tcPr>
            <w:tcW w:w="1020" w:type="dxa"/>
            <w:vAlign w:val="center"/>
          </w:tcPr>
          <w:p>
            <w:pPr>
              <w:jc w:val="center"/>
              <w:rPr>
                <w:sz w:val="24"/>
                <w:szCs w:val="24"/>
              </w:rPr>
            </w:pPr>
            <w:r>
              <w:rPr>
                <w:rFonts w:hint="eastAsia"/>
                <w:sz w:val="24"/>
                <w:szCs w:val="24"/>
              </w:rPr>
              <w:t>净值</w:t>
            </w:r>
          </w:p>
        </w:tc>
        <w:tc>
          <w:tcPr>
            <w:tcW w:w="1190"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6" w:hRule="atLeast"/>
        </w:trPr>
        <w:tc>
          <w:tcPr>
            <w:tcW w:w="8620" w:type="dxa"/>
            <w:gridSpan w:val="8"/>
            <w:vAlign w:val="top"/>
          </w:tcPr>
          <w:p>
            <w:pPr>
              <w:rPr>
                <w:sz w:val="24"/>
                <w:szCs w:val="24"/>
              </w:rPr>
            </w:pPr>
          </w:p>
          <w:p>
            <w:pPr>
              <w:rPr>
                <w:sz w:val="24"/>
                <w:szCs w:val="24"/>
              </w:rPr>
            </w:pPr>
            <w:r>
              <w:rPr>
                <w:rFonts w:hint="eastAsia"/>
                <w:sz w:val="24"/>
                <w:szCs w:val="24"/>
              </w:rPr>
              <w:t>申请毁损（报废）核销原因</w:t>
            </w:r>
          </w:p>
          <w:p>
            <w:pPr>
              <w:rPr>
                <w:sz w:val="24"/>
                <w:szCs w:val="24"/>
              </w:rPr>
            </w:pPr>
          </w:p>
          <w:p>
            <w:pPr>
              <w:rPr>
                <w:sz w:val="24"/>
                <w:szCs w:val="24"/>
              </w:rPr>
            </w:pPr>
          </w:p>
          <w:p>
            <w:pPr>
              <w:rPr>
                <w:sz w:val="24"/>
                <w:szCs w:val="24"/>
              </w:rPr>
            </w:pPr>
          </w:p>
          <w:p>
            <w:pPr>
              <w:ind w:firstLine="2640" w:firstLineChars="1100"/>
              <w:rPr>
                <w:rFonts w:hint="eastAsia" w:eastAsia="宋体"/>
                <w:sz w:val="24"/>
                <w:szCs w:val="24"/>
                <w:lang w:eastAsia="zh-CN"/>
              </w:rPr>
            </w:pPr>
            <w:r>
              <w:rPr>
                <w:rFonts w:hint="eastAsia"/>
                <w:sz w:val="24"/>
                <w:szCs w:val="24"/>
              </w:rPr>
              <w:t xml:space="preserve">（公章）        </w:t>
            </w:r>
            <w:r>
              <w:rPr>
                <w:rFonts w:hint="eastAsia"/>
                <w:sz w:val="24"/>
                <w:szCs w:val="24"/>
                <w:lang w:val="en-US" w:eastAsia="zh-CN"/>
              </w:rPr>
              <w:t xml:space="preserve">           </w:t>
            </w:r>
            <w:r>
              <w:rPr>
                <w:rFonts w:hint="eastAsia"/>
                <w:sz w:val="24"/>
                <w:szCs w:val="24"/>
              </w:rPr>
              <w:t>负责人</w:t>
            </w:r>
            <w:r>
              <w:rPr>
                <w:rFonts w:hint="eastAsia"/>
                <w:sz w:val="24"/>
                <w:szCs w:val="24"/>
                <w:lang w:eastAsia="zh-CN"/>
              </w:rPr>
              <w:t>：（签字）</w:t>
            </w:r>
          </w:p>
          <w:p>
            <w:pPr>
              <w:rPr>
                <w:sz w:val="24"/>
                <w:szCs w:val="24"/>
              </w:rPr>
            </w:pPr>
          </w:p>
          <w:p>
            <w:pPr>
              <w:ind w:firstLine="6240" w:firstLineChars="2600"/>
              <w:rPr>
                <w:sz w:val="24"/>
                <w:szCs w:val="24"/>
              </w:rPr>
            </w:pPr>
            <w:r>
              <w:rPr>
                <w:rFonts w:hint="eastAsia"/>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9" w:hRule="atLeast"/>
        </w:trPr>
        <w:tc>
          <w:tcPr>
            <w:tcW w:w="8620" w:type="dxa"/>
            <w:gridSpan w:val="8"/>
            <w:vAlign w:val="top"/>
          </w:tcPr>
          <w:p>
            <w:pPr>
              <w:rPr>
                <w:sz w:val="24"/>
                <w:szCs w:val="24"/>
              </w:rPr>
            </w:pPr>
          </w:p>
          <w:p>
            <w:pPr>
              <w:rPr>
                <w:sz w:val="24"/>
                <w:szCs w:val="24"/>
              </w:rPr>
            </w:pPr>
            <w:r>
              <w:rPr>
                <w:rFonts w:hint="eastAsia"/>
                <w:sz w:val="24"/>
                <w:szCs w:val="24"/>
              </w:rPr>
              <w:t>村清产核资小组意见：</w:t>
            </w:r>
          </w:p>
          <w:p>
            <w:pPr>
              <w:rPr>
                <w:sz w:val="24"/>
                <w:szCs w:val="24"/>
              </w:rPr>
            </w:pPr>
          </w:p>
          <w:p>
            <w:pPr>
              <w:rPr>
                <w:sz w:val="24"/>
                <w:szCs w:val="24"/>
              </w:rPr>
            </w:pPr>
          </w:p>
          <w:p>
            <w:pPr>
              <w:rPr>
                <w:sz w:val="24"/>
                <w:szCs w:val="24"/>
              </w:rPr>
            </w:pPr>
            <w:r>
              <w:rPr>
                <w:rFonts w:hint="eastAsia"/>
                <w:sz w:val="24"/>
                <w:szCs w:val="24"/>
              </w:rPr>
              <w:t>村清产核资小组（签字）：</w:t>
            </w:r>
          </w:p>
          <w:p>
            <w:pPr>
              <w:rPr>
                <w:sz w:val="24"/>
                <w:szCs w:val="24"/>
              </w:rPr>
            </w:pPr>
          </w:p>
          <w:p>
            <w:pPr>
              <w:rPr>
                <w:sz w:val="24"/>
                <w:szCs w:val="24"/>
              </w:rPr>
            </w:pPr>
          </w:p>
          <w:p>
            <w:pPr>
              <w:rPr>
                <w:sz w:val="24"/>
                <w:szCs w:val="24"/>
              </w:rPr>
            </w:pPr>
          </w:p>
          <w:p>
            <w:pPr>
              <w:ind w:firstLine="6240" w:firstLineChars="2600"/>
              <w:rPr>
                <w:sz w:val="24"/>
                <w:szCs w:val="24"/>
              </w:rPr>
            </w:pPr>
            <w:r>
              <w:rPr>
                <w:rFonts w:hint="eastAsia"/>
                <w:sz w:val="24"/>
                <w:szCs w:val="24"/>
              </w:rPr>
              <w:t>年    月    日</w:t>
            </w:r>
          </w:p>
          <w:p>
            <w:pPr>
              <w:rPr>
                <w:sz w:val="24"/>
                <w:szCs w:val="24"/>
              </w:rPr>
            </w:pP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6" w:hRule="atLeast"/>
        </w:trPr>
        <w:tc>
          <w:tcPr>
            <w:tcW w:w="8620" w:type="dxa"/>
            <w:gridSpan w:val="8"/>
            <w:vAlign w:val="top"/>
          </w:tcPr>
          <w:p>
            <w:pPr>
              <w:jc w:val="center"/>
              <w:rPr>
                <w:sz w:val="24"/>
                <w:szCs w:val="24"/>
              </w:rPr>
            </w:pPr>
          </w:p>
          <w:p>
            <w:pPr>
              <w:rPr>
                <w:sz w:val="24"/>
                <w:szCs w:val="24"/>
              </w:rPr>
            </w:pPr>
            <w:r>
              <w:rPr>
                <w:rFonts w:hint="eastAsia"/>
                <w:sz w:val="24"/>
                <w:szCs w:val="24"/>
              </w:rPr>
              <w:t>乡（镇）</w:t>
            </w:r>
            <w:r>
              <w:rPr>
                <w:rFonts w:hint="eastAsia"/>
                <w:sz w:val="24"/>
                <w:szCs w:val="24"/>
                <w:lang w:val="en-US" w:eastAsia="zh-CN"/>
              </w:rPr>
              <w:t>农</w:t>
            </w:r>
            <w:r>
              <w:rPr>
                <w:rFonts w:hint="eastAsia"/>
                <w:sz w:val="24"/>
                <w:szCs w:val="24"/>
              </w:rPr>
              <w:t>经管理</w:t>
            </w:r>
            <w:r>
              <w:rPr>
                <w:rFonts w:hint="eastAsia"/>
                <w:sz w:val="24"/>
                <w:szCs w:val="24"/>
                <w:lang w:eastAsia="zh-CN"/>
              </w:rPr>
              <w:t>机构</w:t>
            </w:r>
            <w:r>
              <w:rPr>
                <w:rFonts w:hint="eastAsia"/>
                <w:sz w:val="24"/>
                <w:szCs w:val="24"/>
              </w:rPr>
              <w:t>意见</w:t>
            </w:r>
          </w:p>
          <w:p>
            <w:pPr>
              <w:rPr>
                <w:sz w:val="24"/>
                <w:szCs w:val="24"/>
              </w:rPr>
            </w:pPr>
          </w:p>
          <w:p>
            <w:pPr>
              <w:rPr>
                <w:sz w:val="24"/>
                <w:szCs w:val="24"/>
              </w:rPr>
            </w:pPr>
          </w:p>
          <w:p>
            <w:pPr>
              <w:rPr>
                <w:sz w:val="24"/>
                <w:szCs w:val="24"/>
              </w:rPr>
            </w:pPr>
          </w:p>
          <w:p>
            <w:pPr>
              <w:ind w:firstLine="2880" w:firstLineChars="1200"/>
              <w:rPr>
                <w:rFonts w:hint="eastAsia" w:eastAsia="宋体"/>
                <w:sz w:val="24"/>
                <w:szCs w:val="24"/>
                <w:lang w:eastAsia="zh-CN"/>
              </w:rPr>
            </w:pPr>
            <w:r>
              <w:rPr>
                <w:rFonts w:hint="eastAsia"/>
                <w:sz w:val="24"/>
                <w:szCs w:val="24"/>
              </w:rPr>
              <w:t xml:space="preserve">（公章）       </w:t>
            </w:r>
            <w:r>
              <w:rPr>
                <w:rFonts w:hint="eastAsia"/>
                <w:sz w:val="24"/>
                <w:szCs w:val="24"/>
                <w:lang w:val="en-US" w:eastAsia="zh-CN"/>
              </w:rPr>
              <w:t xml:space="preserve">      </w:t>
            </w:r>
            <w:r>
              <w:rPr>
                <w:rFonts w:hint="eastAsia"/>
                <w:sz w:val="24"/>
                <w:szCs w:val="24"/>
              </w:rPr>
              <w:t xml:space="preserve"> </w:t>
            </w:r>
            <w:r>
              <w:rPr>
                <w:rFonts w:hint="eastAsia"/>
                <w:sz w:val="24"/>
                <w:szCs w:val="24"/>
                <w:lang w:eastAsia="zh-CN"/>
              </w:rPr>
              <w:t>审核人：（签字）</w:t>
            </w:r>
          </w:p>
          <w:p>
            <w:pPr>
              <w:ind w:firstLine="4800" w:firstLineChars="2000"/>
              <w:rPr>
                <w:sz w:val="24"/>
                <w:szCs w:val="24"/>
              </w:rPr>
            </w:pPr>
          </w:p>
          <w:p>
            <w:pPr>
              <w:ind w:firstLine="4800" w:firstLineChars="2000"/>
              <w:rPr>
                <w:sz w:val="24"/>
                <w:szCs w:val="24"/>
              </w:rPr>
            </w:pPr>
          </w:p>
          <w:p>
            <w:pPr>
              <w:ind w:firstLine="6000" w:firstLineChars="2500"/>
              <w:rPr>
                <w:sz w:val="24"/>
                <w:szCs w:val="24"/>
              </w:rPr>
            </w:pPr>
            <w:r>
              <w:rPr>
                <w:rFonts w:hint="eastAsia"/>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sectPr>
          <w:pgSz w:w="11906" w:h="16838"/>
          <w:pgMar w:top="1644" w:right="1644" w:bottom="1644" w:left="1701" w:header="851" w:footer="992" w:gutter="0"/>
          <w:pgNumType w:fmt="decimal"/>
          <w:cols w:space="0" w:num="1"/>
          <w:rtlGutter w:val="0"/>
          <w:docGrid w:type="lines" w:linePitch="317" w:charSpace="0"/>
        </w:sectPr>
      </w:pPr>
    </w:p>
    <w:tbl>
      <w:tblPr>
        <w:tblStyle w:val="9"/>
        <w:tblW w:w="141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20"/>
        <w:gridCol w:w="470"/>
        <w:gridCol w:w="1322"/>
        <w:gridCol w:w="91"/>
        <w:gridCol w:w="890"/>
        <w:gridCol w:w="545"/>
        <w:gridCol w:w="345"/>
        <w:gridCol w:w="501"/>
        <w:gridCol w:w="1231"/>
        <w:gridCol w:w="202"/>
        <w:gridCol w:w="1045"/>
        <w:gridCol w:w="185"/>
        <w:gridCol w:w="891"/>
        <w:gridCol w:w="709"/>
        <w:gridCol w:w="182"/>
        <w:gridCol w:w="851"/>
        <w:gridCol w:w="40"/>
        <w:gridCol w:w="873"/>
        <w:gridCol w:w="499"/>
        <w:gridCol w:w="440"/>
        <w:gridCol w:w="451"/>
        <w:gridCol w:w="582"/>
        <w:gridCol w:w="1033"/>
        <w:gridCol w:w="3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342" w:type="dxa"/>
          <w:trHeight w:val="671" w:hRule="atLeast"/>
        </w:trPr>
        <w:tc>
          <w:tcPr>
            <w:tcW w:w="13798" w:type="dxa"/>
            <w:gridSpan w:val="23"/>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40"/>
                <w:szCs w:val="40"/>
                <w:u w:val="none"/>
              </w:rPr>
            </w:pPr>
            <w:r>
              <w:rPr>
                <w:rFonts w:hint="eastAsia" w:ascii="方正小标宋简体" w:hAnsi="方正小标宋简体" w:eastAsia="方正小标宋简体" w:cs="方正小标宋简体"/>
                <w:b/>
                <w:i w:val="0"/>
                <w:color w:val="000000"/>
                <w:kern w:val="0"/>
                <w:sz w:val="40"/>
                <w:szCs w:val="40"/>
                <w:u w:val="none"/>
                <w:lang w:val="en-US" w:eastAsia="zh-CN" w:bidi="ar"/>
              </w:rPr>
              <w:t>馆陶县行政事业单位经管资产移交(备案）表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342" w:type="dxa"/>
          <w:trHeight w:val="671" w:hRule="atLeast"/>
        </w:trPr>
        <w:tc>
          <w:tcPr>
            <w:tcW w:w="8847" w:type="dxa"/>
            <w:gridSpan w:val="14"/>
            <w:shd w:val="clear" w:color="auto" w:fill="auto"/>
            <w:vAlign w:val="center"/>
          </w:tcPr>
          <w:p>
            <w:pPr>
              <w:keepNext w:val="0"/>
              <w:keepLines w:val="0"/>
              <w:widowControl/>
              <w:suppressLineNumbers w:val="0"/>
              <w:jc w:val="left"/>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 xml:space="preserve">申报单位：                                                                             </w:t>
            </w:r>
          </w:p>
        </w:tc>
        <w:tc>
          <w:tcPr>
            <w:tcW w:w="1033" w:type="dxa"/>
            <w:gridSpan w:val="2"/>
            <w:shd w:val="clear" w:color="auto" w:fill="auto"/>
            <w:vAlign w:val="center"/>
          </w:tcPr>
          <w:p>
            <w:pPr>
              <w:rPr>
                <w:rFonts w:hint="eastAsia" w:ascii="仿宋_GB2312" w:hAnsi="宋体" w:eastAsia="仿宋_GB2312" w:cs="仿宋_GB2312"/>
                <w:i w:val="0"/>
                <w:color w:val="000000"/>
                <w:sz w:val="28"/>
                <w:szCs w:val="28"/>
                <w:u w:val="none"/>
              </w:rPr>
            </w:pPr>
          </w:p>
        </w:tc>
        <w:tc>
          <w:tcPr>
            <w:tcW w:w="913" w:type="dxa"/>
            <w:gridSpan w:val="2"/>
            <w:shd w:val="clear" w:color="auto" w:fill="auto"/>
            <w:vAlign w:val="center"/>
          </w:tcPr>
          <w:p>
            <w:pPr>
              <w:rPr>
                <w:rFonts w:hint="eastAsia" w:ascii="仿宋_GB2312" w:hAnsi="宋体" w:eastAsia="仿宋_GB2312" w:cs="仿宋_GB2312"/>
                <w:i w:val="0"/>
                <w:color w:val="000000"/>
                <w:sz w:val="28"/>
                <w:szCs w:val="28"/>
                <w:u w:val="none"/>
              </w:rPr>
            </w:pPr>
          </w:p>
        </w:tc>
        <w:tc>
          <w:tcPr>
            <w:tcW w:w="3005" w:type="dxa"/>
            <w:gridSpan w:val="5"/>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42" w:type="dxa"/>
          <w:trHeight w:val="681"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序号</w:t>
            </w:r>
          </w:p>
        </w:tc>
        <w:tc>
          <w:tcPr>
            <w:tcW w:w="17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资产名称</w:t>
            </w:r>
          </w:p>
        </w:tc>
        <w:tc>
          <w:tcPr>
            <w:tcW w:w="152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位置</w:t>
            </w:r>
          </w:p>
        </w:tc>
        <w:tc>
          <w:tcPr>
            <w:tcW w:w="84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型号规格</w:t>
            </w:r>
          </w:p>
        </w:tc>
        <w:tc>
          <w:tcPr>
            <w:tcW w:w="14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计量单位</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数量</w:t>
            </w:r>
          </w:p>
        </w:tc>
        <w:tc>
          <w:tcPr>
            <w:tcW w:w="178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购置（投资)          日期</w:t>
            </w:r>
          </w:p>
        </w:tc>
        <w:tc>
          <w:tcPr>
            <w:tcW w:w="391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价  值</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42" w:type="dxa"/>
          <w:trHeight w:val="1323"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17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152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8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14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17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c>
          <w:tcPr>
            <w:tcW w:w="1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账面                   原值</w:t>
            </w: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已折                        旧额</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账面                     净值</w:t>
            </w:r>
          </w:p>
        </w:tc>
        <w:tc>
          <w:tcPr>
            <w:tcW w:w="1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评估                        价值</w:t>
            </w: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42" w:type="dxa"/>
          <w:trHeight w:val="681"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179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宋体" w:eastAsia="仿宋_GB2312" w:cs="仿宋_GB2312"/>
                <w:i w:val="0"/>
                <w:color w:val="000000"/>
                <w:sz w:val="28"/>
                <w:szCs w:val="28"/>
                <w:u w:val="none"/>
              </w:rPr>
            </w:pPr>
          </w:p>
        </w:tc>
        <w:tc>
          <w:tcPr>
            <w:tcW w:w="1526"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宋体" w:eastAsia="仿宋_GB2312" w:cs="仿宋_GB2312"/>
                <w:i w:val="0"/>
                <w:color w:val="000000"/>
                <w:sz w:val="28"/>
                <w:szCs w:val="28"/>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178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10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10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42" w:type="dxa"/>
          <w:trHeight w:val="681"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179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宋体" w:eastAsia="仿宋_GB2312" w:cs="仿宋_GB2312"/>
                <w:i w:val="0"/>
                <w:color w:val="000000"/>
                <w:sz w:val="28"/>
                <w:szCs w:val="28"/>
                <w:u w:val="none"/>
              </w:rPr>
            </w:pPr>
          </w:p>
        </w:tc>
        <w:tc>
          <w:tcPr>
            <w:tcW w:w="1526"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宋体" w:eastAsia="仿宋_GB2312" w:cs="仿宋_GB2312"/>
                <w:i w:val="0"/>
                <w:color w:val="000000"/>
                <w:sz w:val="28"/>
                <w:szCs w:val="28"/>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178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10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10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42" w:type="dxa"/>
          <w:trHeight w:val="681"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179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宋体" w:eastAsia="仿宋_GB2312" w:cs="仿宋_GB2312"/>
                <w:i w:val="0"/>
                <w:color w:val="000000"/>
                <w:sz w:val="28"/>
                <w:szCs w:val="28"/>
                <w:u w:val="none"/>
              </w:rPr>
            </w:pPr>
          </w:p>
        </w:tc>
        <w:tc>
          <w:tcPr>
            <w:tcW w:w="1526"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宋体" w:eastAsia="仿宋_GB2312" w:cs="仿宋_GB2312"/>
                <w:i w:val="0"/>
                <w:color w:val="000000"/>
                <w:sz w:val="28"/>
                <w:szCs w:val="28"/>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178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10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91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10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42" w:type="dxa"/>
          <w:trHeight w:val="681" w:hRule="atLeast"/>
        </w:trPr>
        <w:tc>
          <w:tcPr>
            <w:tcW w:w="458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移交单位（盖章）</w:t>
            </w:r>
          </w:p>
        </w:tc>
        <w:tc>
          <w:tcPr>
            <w:tcW w:w="42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接收单位（盖章）</w:t>
            </w:r>
          </w:p>
        </w:tc>
        <w:tc>
          <w:tcPr>
            <w:tcW w:w="4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监交单位（盖章）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42" w:type="dxa"/>
          <w:trHeight w:val="681" w:hRule="atLeast"/>
        </w:trPr>
        <w:tc>
          <w:tcPr>
            <w:tcW w:w="458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 xml:space="preserve">  负责人签字：                                               </w:t>
            </w:r>
          </w:p>
        </w:tc>
        <w:tc>
          <w:tcPr>
            <w:tcW w:w="42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 xml:space="preserve"> 负责人签字：                                               </w:t>
            </w:r>
          </w:p>
        </w:tc>
        <w:tc>
          <w:tcPr>
            <w:tcW w:w="4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 xml:space="preserve"> 负责人签字：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42" w:type="dxa"/>
          <w:trHeight w:val="681" w:hRule="atLeast"/>
        </w:trPr>
        <w:tc>
          <w:tcPr>
            <w:tcW w:w="458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 xml:space="preserve">  经办人签字：                                    </w:t>
            </w:r>
          </w:p>
        </w:tc>
        <w:tc>
          <w:tcPr>
            <w:tcW w:w="42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 xml:space="preserve"> 经办人签字：                                    </w:t>
            </w:r>
          </w:p>
        </w:tc>
        <w:tc>
          <w:tcPr>
            <w:tcW w:w="4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 xml:space="preserve"> 经办人签字：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7" w:hRule="atLeast"/>
        </w:trPr>
        <w:tc>
          <w:tcPr>
            <w:tcW w:w="14140" w:type="dxa"/>
            <w:gridSpan w:val="24"/>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40"/>
                <w:szCs w:val="40"/>
                <w:u w:val="none"/>
              </w:rPr>
            </w:pPr>
            <w:r>
              <w:rPr>
                <w:rFonts w:hint="eastAsia" w:ascii="方正小标宋简体" w:hAnsi="方正小标宋简体" w:eastAsia="方正小标宋简体" w:cs="方正小标宋简体"/>
                <w:b/>
                <w:i w:val="0"/>
                <w:color w:val="000000"/>
                <w:kern w:val="0"/>
                <w:sz w:val="40"/>
                <w:szCs w:val="40"/>
                <w:u w:val="none"/>
                <w:lang w:val="en-US" w:eastAsia="zh-CN" w:bidi="ar"/>
              </w:rPr>
              <w:t>馆陶县行政事业单位经管资产移交汇总表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4" w:hRule="atLeast"/>
        </w:trPr>
        <w:tc>
          <w:tcPr>
            <w:tcW w:w="2303"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5"/>
                <w:lang w:val="en-US" w:eastAsia="zh-CN" w:bidi="ar"/>
              </w:rPr>
              <w:t>申报单位（签章）</w:t>
            </w:r>
            <w:r>
              <w:rPr>
                <w:rStyle w:val="16"/>
                <w:rFonts w:eastAsia="宋体"/>
                <w:lang w:val="en-US" w:eastAsia="zh-CN" w:bidi="ar"/>
              </w:rPr>
              <w:t xml:space="preserve">                                                                                   </w:t>
            </w:r>
          </w:p>
        </w:tc>
        <w:tc>
          <w:tcPr>
            <w:tcW w:w="4944" w:type="dxa"/>
            <w:gridSpan w:val="8"/>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   月   日  </w:t>
            </w:r>
          </w:p>
        </w:tc>
        <w:tc>
          <w:tcPr>
            <w:tcW w:w="891" w:type="dxa"/>
            <w:shd w:val="clear" w:color="auto" w:fill="auto"/>
            <w:vAlign w:val="center"/>
          </w:tcPr>
          <w:p>
            <w:pPr>
              <w:rPr>
                <w:rFonts w:hint="eastAsia" w:ascii="宋体" w:hAnsi="宋体" w:eastAsia="宋体" w:cs="宋体"/>
                <w:i w:val="0"/>
                <w:color w:val="000000"/>
                <w:sz w:val="22"/>
                <w:szCs w:val="22"/>
                <w:u w:val="none"/>
              </w:rPr>
            </w:pPr>
          </w:p>
        </w:tc>
        <w:tc>
          <w:tcPr>
            <w:tcW w:w="891" w:type="dxa"/>
            <w:gridSpan w:val="2"/>
            <w:shd w:val="clear" w:color="auto" w:fill="auto"/>
            <w:vAlign w:val="center"/>
          </w:tcPr>
          <w:p>
            <w:pPr>
              <w:rPr>
                <w:rFonts w:hint="eastAsia" w:ascii="宋体" w:hAnsi="宋体" w:eastAsia="宋体" w:cs="宋体"/>
                <w:i w:val="0"/>
                <w:color w:val="000000"/>
                <w:sz w:val="22"/>
                <w:szCs w:val="22"/>
                <w:u w:val="none"/>
              </w:rPr>
            </w:pPr>
          </w:p>
        </w:tc>
        <w:tc>
          <w:tcPr>
            <w:tcW w:w="891" w:type="dxa"/>
            <w:gridSpan w:val="2"/>
            <w:shd w:val="clear" w:color="auto" w:fill="auto"/>
            <w:vAlign w:val="center"/>
          </w:tcPr>
          <w:p>
            <w:pPr>
              <w:rPr>
                <w:rFonts w:hint="eastAsia" w:ascii="宋体" w:hAnsi="宋体" w:eastAsia="宋体" w:cs="宋体"/>
                <w:i w:val="0"/>
                <w:color w:val="000000"/>
                <w:sz w:val="22"/>
                <w:szCs w:val="22"/>
                <w:u w:val="none"/>
              </w:rPr>
            </w:pPr>
          </w:p>
        </w:tc>
        <w:tc>
          <w:tcPr>
            <w:tcW w:w="422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8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4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资产名称</w:t>
            </w:r>
          </w:p>
        </w:tc>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型号规格</w:t>
            </w:r>
          </w:p>
        </w:tc>
        <w:tc>
          <w:tcPr>
            <w:tcW w:w="8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计量单位</w:t>
            </w:r>
          </w:p>
        </w:tc>
        <w:tc>
          <w:tcPr>
            <w:tcW w:w="173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               （股份）</w:t>
            </w:r>
          </w:p>
        </w:tc>
        <w:tc>
          <w:tcPr>
            <w:tcW w:w="143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购置            （投资）          日期</w:t>
            </w:r>
          </w:p>
        </w:tc>
        <w:tc>
          <w:tcPr>
            <w:tcW w:w="40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价</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值</w:t>
            </w:r>
          </w:p>
        </w:tc>
        <w:tc>
          <w:tcPr>
            <w:tcW w:w="8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处置方式</w:t>
            </w:r>
          </w:p>
        </w:tc>
        <w:tc>
          <w:tcPr>
            <w:tcW w:w="195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按收单位（乡镇村）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7" w:hRule="atLeast"/>
        </w:trPr>
        <w:tc>
          <w:tcPr>
            <w:tcW w:w="8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3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账面                     原值</w:t>
            </w: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已折                        旧额</w:t>
            </w: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账面                     净值</w:t>
            </w: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                        价值</w:t>
            </w:r>
          </w:p>
        </w:tc>
        <w:tc>
          <w:tcPr>
            <w:tcW w:w="8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5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0"/>
                <w:szCs w:val="20"/>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1432"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1"/>
                <w:szCs w:val="21"/>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1"/>
                <w:szCs w:val="21"/>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195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0"/>
                <w:szCs w:val="20"/>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1432"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1"/>
                <w:szCs w:val="21"/>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1"/>
                <w:szCs w:val="21"/>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195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0"/>
                <w:szCs w:val="20"/>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1432"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1"/>
                <w:szCs w:val="21"/>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1"/>
                <w:szCs w:val="21"/>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195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0"/>
                <w:szCs w:val="20"/>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1432"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1"/>
                <w:szCs w:val="21"/>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1"/>
                <w:szCs w:val="21"/>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0"/>
                <w:szCs w:val="20"/>
                <w:u w:val="none"/>
              </w:rPr>
            </w:pPr>
          </w:p>
        </w:tc>
        <w:tc>
          <w:tcPr>
            <w:tcW w:w="1957"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4" w:hRule="atLeast"/>
        </w:trPr>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sectPr>
          <w:pgSz w:w="16838" w:h="11906" w:orient="landscape"/>
          <w:pgMar w:top="1701" w:right="1644" w:bottom="1644" w:left="1644" w:header="851" w:footer="992" w:gutter="0"/>
          <w:pgNumType w:fmt="decimal"/>
          <w:cols w:space="0" w:num="1"/>
          <w:rtlGutter w:val="0"/>
          <w:docGrid w:type="lines" w:linePitch="317"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××乡××村集体资产清产核资工作的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color w:val="000000"/>
          <w:sz w:val="44"/>
          <w:szCs w:val="44"/>
        </w:rPr>
      </w:pPr>
      <w:r>
        <w:rPr>
          <w:rFonts w:hint="eastAsia" w:asciiTheme="majorEastAsia" w:hAnsiTheme="majorEastAsia" w:eastAsiaTheme="majorEastAsia" w:cstheme="majorEastAsia"/>
          <w:b/>
          <w:bCs/>
          <w:color w:val="000000"/>
          <w:sz w:val="44"/>
          <w:szCs w:val="44"/>
        </w:rPr>
        <w:t>验收请示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b/>
          <w:bCs/>
          <w:color w:val="000000"/>
          <w:sz w:val="32"/>
          <w:szCs w:val="32"/>
        </w:rPr>
      </w:pPr>
      <w:r>
        <w:rPr>
          <w:rFonts w:hint="eastAsia" w:ascii="仿宋_GB2312" w:hAnsi="仿宋_GB2312" w:eastAsia="仿宋_GB2312" w:cs="仿宋_GB2312"/>
          <w:sz w:val="32"/>
          <w:szCs w:val="32"/>
        </w:rPr>
        <w:t>××</w:t>
      </w:r>
      <w:r>
        <w:rPr>
          <w:rFonts w:hint="eastAsia" w:ascii="仿宋" w:hAnsi="仿宋" w:eastAsia="仿宋"/>
          <w:sz w:val="32"/>
          <w:szCs w:val="32"/>
        </w:rPr>
        <w:t>乡（镇）农改办：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根据《农村集体资产清产核资实施方案》要求，我们于××年××月××日至××年××月××日对××村涉及的全部“三资”进行清查和核实。现将有关情况和结果报告如下：</w:t>
      </w:r>
    </w:p>
    <w:p>
      <w:pPr>
        <w:pStyle w:val="17"/>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Chars="0"/>
        <w:textAlignment w:val="auto"/>
        <w:rPr>
          <w:rFonts w:ascii="黑体" w:hAnsi="黑体" w:eastAsia="黑体"/>
          <w:color w:val="000000"/>
          <w:sz w:val="32"/>
          <w:szCs w:val="32"/>
        </w:rPr>
      </w:pPr>
      <w:r>
        <w:rPr>
          <w:rFonts w:hint="eastAsia" w:ascii="黑体" w:hAnsi="黑体" w:eastAsia="黑体"/>
          <w:color w:val="000000"/>
          <w:sz w:val="32"/>
          <w:szCs w:val="32"/>
        </w:rPr>
        <w:t>清产核资目的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全面清查核实集体所有资金、资产和资源的存量、结构、分布等情况，依法界定集体资产权属，为实施农村集体产权制度改革奠定基础。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二、清产核资人员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姓名           职务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三、清产核资范围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本次清产核资范围涵盖全村所有的经营性资产、非经营性资产和资源性资产。清产核资的重点，是未承包到户的资源性资产和集体统一经营的经营性资产、现金、债权债务等。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四、清产核资基准日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本次清产核资数据截止到2017年12月31日。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五、清产核资依据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1、农业部、财政部等九部委联发《全面开展农村集体资产清产核资工作的通知》（农经发[2017]11号），馆陶县《关于全面推进农村集体产权制度改革的实施方案》。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2、提供的财务资料和证明文件（主要针对清产核资过程中出现的问题所提供的证明材料或依据）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3、其他有关资料。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六、清产核资过程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本次清产核资按照组建机构、制定方案、宣传培训、清查核实、结果公示、资产处置、账务调整、建立台账的程序进行。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七、清产核资结果与结论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经过清查和核实，截至××年××月××日，本村所有“三资”情况如下：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（一）货币资金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本村集体现金账面数为××元，核实数为××元，较账面数增加（或减少）××元，造成差异的主要原因是×××××。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本村集体银行存款账面数为××元，核实数为××元，较账面数增加（或减少）××元，造成差异的主要原因是×××。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（二）经营性资产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本村集体经营性资产（包括经营性在建工程）账面数为××元，核实数为××元，较账面值增加（或减少）××元，造成差异的主要原因是××××××××××××××。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（三）非经营性资产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本村集体非经营性资产（包括非经营性在建工程）账面数为××元，核实数为××元，较账面值增加（或减少）××元，造成差异的主要原因是××××××××××××。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（四）资源性资产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本村集体土地总××亩。其中未承包到户的耕地××亩，经营性建设用地××亩，非经营性建设用地××亩，未利用地××亩。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（五）债权债务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本村集体全部债权账面数为××元，核实数为××元，较账面值增加（或减少）××元，造成差异的主要原因是×××。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本村集体全部负债账面数为××元，核实数为××元，较账面值增加（或减少）××元，造成差异的主要原因是×××。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八、其他事项说明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000000"/>
          <w:sz w:val="32"/>
          <w:szCs w:val="32"/>
        </w:rPr>
      </w:pPr>
      <w:r>
        <w:rPr>
          <w:rFonts w:hint="eastAsia" w:ascii="仿宋_GB2312" w:hAnsi="仿宋_GB2312" w:eastAsia="仿宋_GB2312" w:cs="仿宋_GB2312"/>
          <w:color w:val="000000"/>
          <w:sz w:val="32"/>
          <w:szCs w:val="32"/>
        </w:rPr>
        <w:t>主要指无凭证但确实是事实的问题，须多个当事人核实签字</w:t>
      </w:r>
      <w:r>
        <w:rPr>
          <w:rFonts w:hint="eastAsia" w:ascii="黑体" w:hAnsi="黑体" w:eastAsia="黑体"/>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九、报告提出日期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××年××月××日完成清产核资报告（附表共××页）。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olor w:val="000000"/>
          <w:sz w:val="32"/>
          <w:szCs w:val="32"/>
        </w:rPr>
      </w:pPr>
      <w:r>
        <w:rPr>
          <w:rFonts w:hint="eastAsia" w:ascii="仿宋" w:hAnsi="仿宋" w:eastAsia="仿宋"/>
          <w:color w:val="000000"/>
          <w:sz w:val="32"/>
          <w:szCs w:val="32"/>
        </w:rPr>
        <w:t>清产核资人员（签字）：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ascii="仿宋" w:hAnsi="仿宋" w:eastAsia="仿宋"/>
          <w:color w:val="000000"/>
          <w:sz w:val="32"/>
          <w:szCs w:val="32"/>
        </w:rPr>
      </w:pPr>
      <w:r>
        <w:rPr>
          <w:rFonts w:hint="eastAsia" w:ascii="仿宋" w:hAnsi="仿宋" w:eastAsia="仿宋"/>
          <w:color w:val="000000"/>
          <w:sz w:val="32"/>
          <w:szCs w:val="32"/>
        </w:rPr>
        <w:t>××村委会（公章）</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黑体" w:hAnsi="黑体" w:eastAsia="黑体" w:cs="黑体"/>
          <w:sz w:val="32"/>
          <w:szCs w:val="32"/>
          <w:lang w:eastAsia="zh-CN"/>
        </w:rPr>
      </w:pPr>
      <w:r>
        <w:rPr>
          <w:rFonts w:hint="eastAsia" w:ascii="仿宋" w:hAnsi="仿宋" w:eastAsia="仿宋"/>
          <w:color w:val="000000"/>
          <w:sz w:val="32"/>
          <w:szCs w:val="32"/>
        </w:rPr>
        <w:t xml:space="preserve">                                ××年××月××日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××乡××村集体资产清产核资工作的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验收报告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按照县《农村集体资产清产核资实施方案》要求，我乡清产核资领导小组于××年××月××日至××年××月××日对××村全部资金、资产和资源的存量、结构、分布等情况审核、验收。现将有关情况报告如下：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一、村基本情况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位置、户数、人口、耕地、小组数等。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二、村工作开展情况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简单介绍本村清产核资开展情况，如成立清产核资小组、对结果进行公示、召开村民代表大会征求意见等。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三、村清产核资结果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（一）货币资金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本村集体现金账面数为××元，核实数为××元，较账面数增加（或减少）××元，造成差异的主要原因是×××××。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本村集体银行存款账面数为××元，核实数为××元，较账面数增加（或减少）××元，造成差异的主要原因是×××。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（二）经营性资产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本村集体经营性资产（包括经营性在建工程）账面数为××元，核实数为××元，较账面值增加（或减少）××元，造成差异的主要原因是××××××××××××××。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（三）非经营性资产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本村集体非经营性资产（包括非经营性在建工程）账面数为××元，核实数为××元，较账面值增加（或减少）××元，造成差异的主要原因是××××××××××××。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（四）资源性资产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本村集体土地总××亩。其中未承包到户的耕地××亩，经营性建设用地××亩，非经营性建设用地××亩，未利用地××亩。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（五）债权债务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本村集体全部债权账面数为××元，核实数为××元，较账面值增加（或减少）××元，造成差异的主要原因是×××。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本村集体全部负债账面数为××元，核实数为××元，较账面值增加（或减少）××元，造成差异的主要原因是×××。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四、村清产核资结论</w:t>
      </w:r>
    </w:p>
    <w:p>
      <w:pPr>
        <w:keepNext w:val="0"/>
        <w:keepLines w:val="0"/>
        <w:pageBreakBefore w:val="0"/>
        <w:widowControl w:val="0"/>
        <w:kinsoku/>
        <w:wordWrap/>
        <w:overflowPunct/>
        <w:topLinePunct w:val="0"/>
        <w:autoSpaceDE/>
        <w:autoSpaceDN/>
        <w:bidi w:val="0"/>
        <w:adjustRightInd/>
        <w:snapToGrid/>
        <w:spacing w:line="600" w:lineRule="exact"/>
        <w:ind w:left="420" w:leftChars="200" w:firstLine="320" w:firstLineChars="1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××村开展清产核资严格按照程序进行，方法得当，进行了公开公示，群众认可。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验收人员（签字）：</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××乡农经站（公章）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××年××月××日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eastAsia="zh-CN"/>
        </w:rPr>
      </w:pPr>
    </w:p>
    <w:tbl>
      <w:tblPr>
        <w:tblStyle w:val="9"/>
        <w:tblW w:w="9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20"/>
        <w:gridCol w:w="668"/>
        <w:gridCol w:w="917"/>
        <w:gridCol w:w="969"/>
        <w:gridCol w:w="2104"/>
        <w:gridCol w:w="762"/>
        <w:gridCol w:w="907"/>
        <w:gridCol w:w="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57" w:hRule="atLeast"/>
        </w:trPr>
        <w:tc>
          <w:tcPr>
            <w:tcW w:w="9040" w:type="dxa"/>
            <w:gridSpan w:val="8"/>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40"/>
                <w:szCs w:val="40"/>
                <w:u w:val="none"/>
              </w:rPr>
            </w:pPr>
            <w:r>
              <w:rPr>
                <w:rFonts w:hint="eastAsia" w:asciiTheme="majorEastAsia" w:hAnsiTheme="majorEastAsia" w:eastAsiaTheme="majorEastAsia" w:cstheme="majorEastAsia"/>
                <w:b/>
                <w:bCs/>
                <w:i w:val="0"/>
                <w:color w:val="000000"/>
                <w:kern w:val="0"/>
                <w:sz w:val="40"/>
                <w:szCs w:val="40"/>
                <w:u w:val="none"/>
                <w:lang w:val="en-US" w:eastAsia="zh-CN" w:bidi="ar"/>
              </w:rPr>
              <w:t>资产负债表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trPr>
        <w:tc>
          <w:tcPr>
            <w:tcW w:w="9040" w:type="dxa"/>
            <w:gridSpan w:val="8"/>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11"/>
                <w:lang w:val="en-US" w:eastAsia="zh-CN" w:bidi="ar"/>
              </w:rPr>
              <w:t>编制单位：                       年   月  日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资产</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行次</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年初数</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年末数</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负责及所有者权益</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行次</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年初数</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一、流动资产合计</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一、流动负债合计</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货币资金</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短期借款</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短期投资</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3</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 xml:space="preserve">     应付款项</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应收款项</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4</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 xml:space="preserve">     应付工资</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存货</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 xml:space="preserve">     应付福利费</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 农业资产合计</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6</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二、长期负债合计</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30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 xml:space="preserve">     牲畜（禽）资产</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7</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60" w:firstLineChars="20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长期借款及应付款</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31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 xml:space="preserve">     林木资产</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8</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一事一议资金</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32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9</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专项应付款</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33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三、长期资产合计</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60" w:firstLineChars="200"/>
              <w:jc w:val="both"/>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其中：征地补偿款</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34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长期投资</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11</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alibri" w:hAnsi="Calibri" w:eastAsia="宋体" w:cs="Calibri"/>
                <w:i w:val="0"/>
                <w:color w:val="000000"/>
                <w:sz w:val="18"/>
                <w:szCs w:val="18"/>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35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其中：长期股权投资</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12</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三、所有者权益合计</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36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四、固定资产合计</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13</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资本</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37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7"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固定资产原值</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14</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540" w:hanging="540" w:hangingChars="3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其中：政府拨款等形成资产转增资本</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38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 xml:space="preserve">    减：累计折旧</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公积公益金 </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39</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固定资产净值</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16</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 征地补偿费转入</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40</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 xml:space="preserve">其中：经营性固定资产 </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17</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t xml:space="preserve">   未分配收益</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41</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固定资产清理</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18</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负债和所有者权益合计</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42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在建工程</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19</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附报：</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43</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其中：经营性在建工程</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1.经营性资产</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44</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五、其他资产</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21</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 xml:space="preserve"> 2.非经营性资产</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45</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 xml:space="preserve">    其中：无形资产</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u w:val="none"/>
                <w:lang w:val="en-US" w:eastAsia="zh-CN" w:bidi="ar"/>
              </w:rPr>
            </w:pPr>
            <w:r>
              <w:rPr>
                <w:rFonts w:hint="default" w:ascii="Calibri" w:hAnsi="Calibri" w:eastAsia="宋体" w:cs="Calibri"/>
                <w:i w:val="0"/>
                <w:color w:val="000000"/>
                <w:kern w:val="0"/>
                <w:sz w:val="18"/>
                <w:szCs w:val="18"/>
                <w:u w:val="none"/>
                <w:lang w:val="en-US" w:eastAsia="zh-CN" w:bidi="ar"/>
              </w:rPr>
              <w:t>22</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3.待界定资产</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kern w:val="0"/>
                <w:sz w:val="18"/>
                <w:szCs w:val="18"/>
                <w:u w:val="none"/>
                <w:lang w:val="en-US" w:eastAsia="zh-CN" w:bidi="ar"/>
              </w:rPr>
            </w:pPr>
            <w:r>
              <w:rPr>
                <w:rFonts w:hint="default" w:ascii="Calibri" w:hAnsi="Calibri" w:eastAsia="宋体" w:cs="Calibri"/>
                <w:i w:val="0"/>
                <w:color w:val="000000"/>
                <w:kern w:val="0"/>
                <w:sz w:val="18"/>
                <w:szCs w:val="18"/>
                <w:u w:val="none"/>
                <w:lang w:val="en-US" w:eastAsia="zh-CN" w:bidi="ar"/>
              </w:rPr>
              <w:t>46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w:t>
            </w:r>
            <w:r>
              <w:rPr>
                <w:rFonts w:hint="eastAsia" w:ascii="宋体" w:hAnsi="宋体" w:eastAsia="宋体" w:cs="宋体"/>
                <w:b/>
                <w:i w:val="0"/>
                <w:color w:val="000000"/>
                <w:kern w:val="0"/>
                <w:sz w:val="21"/>
                <w:szCs w:val="21"/>
                <w:u w:val="none"/>
                <w:lang w:val="en-US" w:eastAsia="zh-CN" w:bidi="ar"/>
              </w:rPr>
              <w:t xml:space="preserve"> 资产总计</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w:t>
            </w:r>
            <w:r>
              <w:rPr>
                <w:rFonts w:hint="eastAsia" w:ascii="Calibri" w:hAnsi="Calibri" w:eastAsia="宋体" w:cs="Calibri"/>
                <w:i w:val="0"/>
                <w:color w:val="000000"/>
                <w:kern w:val="0"/>
                <w:sz w:val="18"/>
                <w:szCs w:val="18"/>
                <w:u w:val="none"/>
                <w:lang w:val="en-US" w:eastAsia="zh-CN" w:bidi="ar"/>
              </w:rPr>
              <w:t>3</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 xml:space="preserve"> 4.全资子公司所有者权益</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lang w:val="en-US"/>
              </w:rPr>
            </w:pPr>
            <w:r>
              <w:rPr>
                <w:rFonts w:hint="eastAsia" w:ascii="Calibri" w:hAnsi="Calibri" w:eastAsia="宋体" w:cs="Calibri"/>
                <w:i w:val="0"/>
                <w:color w:val="000000"/>
                <w:kern w:val="0"/>
                <w:sz w:val="18"/>
                <w:szCs w:val="18"/>
                <w:u w:val="none"/>
                <w:lang w:val="en-US" w:eastAsia="zh-CN" w:bidi="ar"/>
              </w:rPr>
              <w:t>47</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883" w:firstLineChars="200"/>
        <w:jc w:val="center"/>
        <w:textAlignment w:val="auto"/>
        <w:outlineLvl w:val="9"/>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资产负债表</w:t>
      </w:r>
      <w:r>
        <w:rPr>
          <w:rFonts w:hint="eastAsia" w:asciiTheme="majorEastAsia" w:hAnsiTheme="majorEastAsia" w:eastAsiaTheme="majorEastAsia" w:cstheme="majorEastAsia"/>
          <w:b/>
          <w:bCs/>
          <w:sz w:val="44"/>
          <w:szCs w:val="44"/>
          <w:lang w:eastAsia="zh-CN"/>
        </w:rPr>
        <w:t>填</w:t>
      </w:r>
      <w:r>
        <w:rPr>
          <w:rFonts w:hint="eastAsia" w:asciiTheme="majorEastAsia" w:hAnsiTheme="majorEastAsia" w:eastAsiaTheme="majorEastAsia" w:cstheme="majorEastAsia"/>
          <w:b/>
          <w:bCs/>
          <w:sz w:val="44"/>
          <w:szCs w:val="44"/>
        </w:rPr>
        <w:t>制说明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eastAsia="仿宋_GB2312"/>
          <w:sz w:val="32"/>
          <w:szCs w:val="32"/>
        </w:rPr>
      </w:pP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1.本表反映村集体经济组织年末全部资产、负债和所有者权益状况。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本表“年初数”应按上年末资产负债表“年末数”栏内所列数字填列。如果本年度资产负债表规定的各个项目的名称和内容同上年度不相一致，应对上年末资产负债表各项目的名称和数字按照本年度的规定进行调整，填入本表“年初数”栏内，并加以书面说明。</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3.本表“年末数”各项目的内容和填列方法如下：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(1)“货币资金”项目，反映村集体经济组织库存现金、银行存款等货币资金的合计数。本项目应根据“现金”、“银行存款”科目的年末余额合计填列。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(2)“短期投资”项目，反映村集体经济组织购入的各种能随时变现并且持有时间不超过一年(含一年)的有价证券等投资。本项目应根据“短期投资”科目的年末余额填列。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(3)“应收款项”项目，反映村集体经济组织应收而未收回和暂付的各种款项。本项目应根据“应收款”科目年末余额和“内部往来”各明细科目年末借方余额合计数合计填列。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(4)“存货”项目，反映村集体经济组织年末在库、在途和在加工中的各项存货的价值，包括各种原材料、农用材料、农产品、工业产成品等物资、在产品等。本项目应根据“库存物资”、“生产(劳务)成本”科目年末余额合计填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(5)“牲畜(禽)资产”项目，反映村集体经济组织购入或培育的幼畜及育肥畜和产役畜的账面余额。本项目应根据“牲畜(禽)资产”科目的年末余额填列。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(6)“林木资产”项目，反映村集体经济组织购入或营造的林木的账面余额。本项目应根据“林木资产”科目的年末余额填列。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(7)“长期投资”项目，反映村集体经济组织不准备在一年内(不含一年)变现的投资。本项目应根据“长期投资”科目的年末余额填列。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(8)“固定资产原价”项目和“累计折旧”项目，反映村集体经济组织各种固定资产原价及累计折旧。这两个项目应根据“固定资产”科目和“累计折旧”科目的年末余额填列。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(9)“固定资产清理”项目，反映村集体经济组织因出售、报废、毁损等原因转入清理但尚未清理完毕的固定资产的账面净值，以及固定资产清理过程中所发生的清理费用和变价收入等各项金额的差额。本项目应根据“固定资产清理”科目的年末借方余额填列;如为贷方余额，本项目数字应以“-”号表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(10)“在建工程”项目，反映村集体经济组织各项尚未完工或虽已完工但尚未办理竣工决算的工程项目实际成本。本项目应根据“在建工程”科目的年末余额填列。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(11)“短期借款”项目，反映村集体经济组织借入尚未归还的一年期以下(含一年)的借款。本项目应根据“短期借款”科目的年末余额填列。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(12)“应付款项”项目，反映村集体经济组织应付而未付及暂收的各种款项。本项目应根据“应付款”科目年末余额和“内部往来”各明细科目年末贷方余额合计数合计填列。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(13)“应付工资”项目，反映村集体经济组织已提取但尚未支付的职工工资。本项目应根据“应付工资”科目年末余额填列。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(14)“应付福利费”项目，反映村集体经济组织已提取但尚未使用的福利费金额。本项目应根据“应付福利费”科目年末贷方余额填列;如为借方余额，本项目数字应以“-”号表示。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(15)“长期借款及应付款”项目，反映村集体经济组织借入尚未归还的一年期以上(不含一年)的借款以及偿还期在一年以上(不含一年)的应付未付款项。本项目应根据“长期借款及应付款”科目年末余额填列。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(16)“一事一议资金”项目，反映村集体经济组织应当用于一事一议专项工程建设的资金数额。本项目应根据“一事一议资金”科目年末贷方余额填列;如为借方余额，本项目数字应以“-”号表示。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(17)“资本”项目，反映村集体经济组织实际收到投入的资本总额。本项目应根据“资本”科目的年末余额填列。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(18)“公积公益金”项目，反映村集体经济组织公积公益金的年末余额。本项目应根据“公积公益金”科目的年末贷方余额填列。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(19)“未分配收益”项目，反映村集体经济组织尚未分配的收益。本项目应根据“本年收益”科目和“收益分配”科目的余额计算填列;未弥补的亏损，在本项目内数字以“-”号表示</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4.本表附表中的解释：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（1）“经营性资产”按照清查核实后长期投资、经营性固定资产、经营性在建工程、无形资产以及用于经营的流动资产和农业资产的合计数填写。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（2）“非经营性资产”按照清查核实后非经营性固定资产、非经营性在建工程以及用于公共服务的流动资产和农业资产的合计数填写。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（3）“待界定资产”是指无法界定其产权归属的资产。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5.本表的逻辑关系：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1=2+3+4+5,6=7+8,10=11,13=16+18+19,21≥22,23=42,</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23=1+6+10+13+21,25=26+27+28+29,30=31+32+33,36=37+39+41,42=25+30+36,23=44+45</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小标宋简体" w:hAnsi="方正小标宋简体" w:eastAsia="方正小标宋简体" w:cs="方正小标宋简体"/>
          <w:sz w:val="32"/>
          <w:szCs w:val="32"/>
          <w:lang w:val="en-US" w:eastAsia="zh-CN"/>
        </w:rPr>
      </w:pPr>
    </w:p>
    <w:p>
      <w:pPr>
        <w:jc w:val="left"/>
        <w:rPr>
          <w:rFonts w:hint="eastAsia" w:ascii="方正小标宋简体" w:hAnsi="方正小标宋简体" w:eastAsia="方正小标宋简体" w:cs="方正小标宋简体"/>
          <w:sz w:val="32"/>
          <w:szCs w:val="32"/>
          <w:lang w:val="en-US" w:eastAsia="zh-CN"/>
        </w:rPr>
      </w:pPr>
    </w:p>
    <w:p>
      <w:pPr>
        <w:jc w:val="left"/>
        <w:rPr>
          <w:rFonts w:hint="eastAsia" w:ascii="方正小标宋简体" w:hAnsi="方正小标宋简体" w:eastAsia="方正小标宋简体" w:cs="方正小标宋简体"/>
          <w:sz w:val="32"/>
          <w:szCs w:val="32"/>
          <w:lang w:val="en-US" w:eastAsia="zh-CN"/>
        </w:rPr>
        <w:sectPr>
          <w:footerReference r:id="rId6" w:type="even"/>
          <w:pgSz w:w="11906" w:h="16838"/>
          <w:pgMar w:top="1644" w:right="1644" w:bottom="1644" w:left="1701" w:header="851" w:footer="992" w:gutter="0"/>
          <w:pgNumType w:fmt="decimal"/>
          <w:cols w:space="0" w:num="1"/>
          <w:rtlGutter w:val="0"/>
          <w:docGrid w:type="lines" w:linePitch="317" w:charSpace="0"/>
        </w:sectPr>
      </w:pPr>
    </w:p>
    <w:p>
      <w:pPr>
        <w:jc w:val="left"/>
        <w:rPr>
          <w:rFonts w:hint="eastAsia" w:ascii="方正小标宋简体" w:hAnsi="方正小标宋简体" w:eastAsia="方正小标宋简体" w:cs="方正小标宋简体"/>
          <w:sz w:val="32"/>
          <w:szCs w:val="32"/>
          <w:lang w:val="en-US" w:eastAsia="zh-CN"/>
        </w:rPr>
      </w:pPr>
    </w:p>
    <w:p>
      <w:pPr>
        <w:widowControl/>
        <w:spacing w:line="288" w:lineRule="auto"/>
        <w:jc w:val="center"/>
        <w:rPr>
          <w:rFonts w:ascii="方正小标宋简体" w:hAnsi="Arial" w:eastAsia="方正小标宋简体" w:cs="Arial"/>
          <w:b/>
          <w:color w:val="000000"/>
          <w:kern w:val="0"/>
          <w:sz w:val="44"/>
          <w:szCs w:val="44"/>
        </w:rPr>
      </w:pPr>
      <w:r>
        <w:rPr>
          <w:rFonts w:hint="eastAsia" w:ascii="方正小标宋简体" w:hAnsi="Arial" w:eastAsia="方正小标宋简体" w:cs="Arial"/>
          <w:b/>
          <w:color w:val="000000"/>
          <w:kern w:val="0"/>
          <w:sz w:val="48"/>
          <w:szCs w:val="48"/>
        </w:rPr>
        <w:t>河北省农村集体资源资产台账</w:t>
      </w:r>
    </w:p>
    <w:p>
      <w:pPr>
        <w:widowControl/>
        <w:spacing w:line="288" w:lineRule="auto"/>
        <w:ind w:firstLine="1263" w:firstLineChars="286"/>
        <w:jc w:val="center"/>
        <w:rPr>
          <w:rFonts w:ascii="方正小标宋简体" w:hAnsi="Arial" w:eastAsia="方正小标宋简体" w:cs="Arial"/>
          <w:b/>
          <w:color w:val="000000"/>
          <w:kern w:val="0"/>
          <w:sz w:val="44"/>
          <w:szCs w:val="44"/>
        </w:rPr>
      </w:pPr>
    </w:p>
    <w:p>
      <w:pPr>
        <w:widowControl/>
        <w:spacing w:line="348" w:lineRule="auto"/>
        <w:ind w:firstLine="1583" w:firstLineChars="438"/>
        <w:rPr>
          <w:rFonts w:ascii="宋体" w:hAnsi="宋体" w:eastAsia="宋体" w:cs="宋体"/>
          <w:b/>
          <w:color w:val="000000"/>
          <w:kern w:val="0"/>
          <w:sz w:val="36"/>
          <w:szCs w:val="36"/>
        </w:rPr>
      </w:pPr>
      <w:r>
        <w:rPr>
          <w:rFonts w:hint="eastAsia" w:ascii="宋体" w:hAnsi="宋体" w:eastAsia="宋体" w:cs="宋体"/>
          <w:b/>
          <w:color w:val="000000"/>
          <w:kern w:val="0"/>
          <w:sz w:val="36"/>
          <w:szCs w:val="36"/>
        </w:rPr>
        <w:t>单位盖章</w:t>
      </w:r>
    </w:p>
    <w:p>
      <w:pPr>
        <w:widowControl/>
        <w:spacing w:line="348" w:lineRule="auto"/>
        <w:ind w:firstLine="1583" w:firstLineChars="438"/>
        <w:rPr>
          <w:rFonts w:ascii="宋体" w:hAnsi="宋体" w:eastAsia="宋体" w:cs="宋体"/>
          <w:b/>
          <w:color w:val="000000"/>
          <w:kern w:val="0"/>
          <w:sz w:val="36"/>
          <w:szCs w:val="36"/>
        </w:rPr>
      </w:pPr>
    </w:p>
    <w:p>
      <w:pPr>
        <w:widowControl/>
        <w:spacing w:line="348" w:lineRule="auto"/>
        <w:ind w:firstLine="1583" w:firstLineChars="438"/>
        <w:rPr>
          <w:rFonts w:ascii="宋体" w:hAnsi="宋体" w:eastAsia="宋体" w:cs="宋体"/>
          <w:b/>
          <w:color w:val="000000"/>
          <w:kern w:val="0"/>
          <w:sz w:val="36"/>
          <w:szCs w:val="36"/>
          <w:u w:val="single"/>
        </w:rPr>
      </w:pPr>
      <w:r>
        <w:rPr>
          <w:rFonts w:hint="eastAsia" w:ascii="宋体" w:hAnsi="宋体" w:eastAsia="宋体" w:cs="宋体"/>
          <w:b/>
          <w:color w:val="000000"/>
          <w:kern w:val="0"/>
          <w:sz w:val="36"/>
          <w:szCs w:val="36"/>
        </w:rPr>
        <w:t>单位名称：</w:t>
      </w:r>
      <w:r>
        <w:rPr>
          <w:rFonts w:hint="eastAsia" w:ascii="宋体" w:hAnsi="宋体" w:eastAsia="宋体" w:cs="宋体"/>
          <w:b/>
          <w:color w:val="000000"/>
          <w:kern w:val="0"/>
          <w:sz w:val="36"/>
          <w:szCs w:val="36"/>
          <w:u w:val="single"/>
        </w:rPr>
        <w:t xml:space="preserve">                  </w:t>
      </w:r>
      <w:r>
        <w:rPr>
          <w:rFonts w:hint="eastAsia" w:ascii="宋体" w:hAnsi="宋体" w:eastAsia="宋体" w:cs="宋体"/>
          <w:b/>
          <w:color w:val="000000"/>
          <w:kern w:val="0"/>
          <w:sz w:val="36"/>
          <w:szCs w:val="36"/>
        </w:rPr>
        <w:t xml:space="preserve">     移交人：         接管人：         </w:t>
      </w:r>
    </w:p>
    <w:p>
      <w:pPr>
        <w:widowControl/>
        <w:spacing w:line="348" w:lineRule="auto"/>
        <w:ind w:firstLine="1583" w:firstLineChars="438"/>
        <w:rPr>
          <w:rFonts w:ascii="宋体" w:hAnsi="宋体" w:eastAsia="宋体" w:cs="宋体"/>
          <w:b/>
          <w:color w:val="000000"/>
          <w:kern w:val="0"/>
          <w:sz w:val="36"/>
          <w:szCs w:val="36"/>
          <w:u w:val="single"/>
        </w:rPr>
      </w:pPr>
      <w:r>
        <w:rPr>
          <w:rFonts w:hint="eastAsia" w:ascii="宋体" w:hAnsi="宋体" w:eastAsia="宋体" w:cs="宋体"/>
          <w:b/>
          <w:color w:val="000000"/>
          <w:kern w:val="0"/>
          <w:sz w:val="36"/>
          <w:szCs w:val="36"/>
        </w:rPr>
        <w:t>启用日期：</w:t>
      </w:r>
      <w:r>
        <w:rPr>
          <w:rFonts w:hint="eastAsia" w:ascii="宋体" w:hAnsi="宋体" w:eastAsia="宋体" w:cs="宋体"/>
          <w:b/>
          <w:color w:val="000000"/>
          <w:kern w:val="0"/>
          <w:sz w:val="36"/>
          <w:szCs w:val="36"/>
          <w:u w:val="single"/>
        </w:rPr>
        <w:t xml:space="preserve">                  </w:t>
      </w:r>
      <w:r>
        <w:rPr>
          <w:rFonts w:hint="eastAsia" w:ascii="宋体" w:hAnsi="宋体" w:eastAsia="宋体" w:cs="宋体"/>
          <w:b/>
          <w:color w:val="000000"/>
          <w:kern w:val="0"/>
          <w:sz w:val="36"/>
          <w:szCs w:val="36"/>
        </w:rPr>
        <w:t xml:space="preserve">     移交人：         接管人： </w:t>
      </w:r>
    </w:p>
    <w:p>
      <w:pPr>
        <w:widowControl/>
        <w:spacing w:line="348" w:lineRule="auto"/>
        <w:ind w:firstLine="1583" w:firstLineChars="438"/>
        <w:rPr>
          <w:rFonts w:ascii="宋体" w:hAnsi="宋体" w:eastAsia="宋体" w:cs="宋体"/>
          <w:b/>
          <w:color w:val="000000"/>
          <w:kern w:val="0"/>
          <w:sz w:val="36"/>
          <w:szCs w:val="36"/>
          <w:u w:val="single"/>
        </w:rPr>
      </w:pPr>
      <w:r>
        <w:rPr>
          <w:rFonts w:hint="eastAsia" w:ascii="宋体" w:hAnsi="宋体" w:eastAsia="宋体" w:cs="宋体"/>
          <w:b/>
          <w:color w:val="000000"/>
          <w:kern w:val="0"/>
          <w:sz w:val="36"/>
          <w:szCs w:val="36"/>
        </w:rPr>
        <w:t>截止日期：</w:t>
      </w:r>
      <w:r>
        <w:rPr>
          <w:rFonts w:hint="eastAsia" w:ascii="宋体" w:hAnsi="宋体" w:eastAsia="宋体" w:cs="宋体"/>
          <w:b/>
          <w:color w:val="000000"/>
          <w:kern w:val="0"/>
          <w:sz w:val="36"/>
          <w:szCs w:val="36"/>
          <w:u w:val="single"/>
        </w:rPr>
        <w:t xml:space="preserve">                  </w:t>
      </w:r>
      <w:r>
        <w:rPr>
          <w:rFonts w:hint="eastAsia" w:ascii="宋体" w:hAnsi="宋体" w:eastAsia="宋体" w:cs="宋体"/>
          <w:b/>
          <w:color w:val="000000"/>
          <w:kern w:val="0"/>
          <w:sz w:val="36"/>
          <w:szCs w:val="36"/>
        </w:rPr>
        <w:t xml:space="preserve">     移交人：         接管人：</w:t>
      </w:r>
    </w:p>
    <w:p>
      <w:pPr>
        <w:widowControl/>
        <w:spacing w:line="348" w:lineRule="auto"/>
        <w:ind w:firstLine="1582" w:firstLineChars="337"/>
        <w:rPr>
          <w:rFonts w:ascii="宋体" w:hAnsi="宋体" w:eastAsia="宋体" w:cs="宋体"/>
          <w:b/>
          <w:color w:val="000000"/>
          <w:kern w:val="0"/>
          <w:sz w:val="36"/>
          <w:szCs w:val="36"/>
          <w:u w:val="single"/>
        </w:rPr>
      </w:pPr>
      <w:r>
        <w:rPr>
          <w:rFonts w:hint="eastAsia" w:ascii="宋体" w:hAnsi="宋体" w:eastAsia="宋体" w:cs="宋体"/>
          <w:b/>
          <w:color w:val="000000"/>
          <w:spacing w:val="54"/>
          <w:kern w:val="0"/>
          <w:sz w:val="36"/>
          <w:szCs w:val="36"/>
        </w:rPr>
        <w:t>负责人</w:t>
      </w:r>
      <w:r>
        <w:rPr>
          <w:rFonts w:hint="eastAsia" w:ascii="宋体" w:hAnsi="宋体" w:eastAsia="宋体" w:cs="宋体"/>
          <w:b/>
          <w:color w:val="000000"/>
          <w:kern w:val="0"/>
          <w:sz w:val="36"/>
          <w:szCs w:val="36"/>
        </w:rPr>
        <w:t>：</w:t>
      </w:r>
      <w:r>
        <w:rPr>
          <w:rFonts w:hint="eastAsia" w:ascii="宋体" w:hAnsi="宋体" w:eastAsia="宋体" w:cs="宋体"/>
          <w:b/>
          <w:color w:val="000000"/>
          <w:spacing w:val="54"/>
          <w:kern w:val="0"/>
          <w:sz w:val="36"/>
          <w:szCs w:val="36"/>
          <w:u w:val="single"/>
        </w:rPr>
        <w:t xml:space="preserve"> </w:t>
      </w:r>
      <w:r>
        <w:rPr>
          <w:rFonts w:hint="eastAsia" w:ascii="宋体" w:hAnsi="宋体" w:eastAsia="宋体" w:cs="宋体"/>
          <w:b/>
          <w:color w:val="000000"/>
          <w:kern w:val="0"/>
          <w:sz w:val="36"/>
          <w:szCs w:val="36"/>
          <w:u w:val="single"/>
        </w:rPr>
        <w:t xml:space="preserve">                 </w:t>
      </w:r>
      <w:r>
        <w:rPr>
          <w:rFonts w:hint="eastAsia" w:ascii="宋体" w:hAnsi="宋体" w:eastAsia="宋体" w:cs="宋体"/>
          <w:b/>
          <w:color w:val="000000"/>
          <w:kern w:val="0"/>
          <w:sz w:val="36"/>
          <w:szCs w:val="36"/>
        </w:rPr>
        <w:t xml:space="preserve">     移交人：         接管人： </w:t>
      </w:r>
    </w:p>
    <w:p>
      <w:pPr>
        <w:widowControl/>
        <w:spacing w:line="348" w:lineRule="auto"/>
        <w:ind w:firstLine="1585" w:firstLineChars="339"/>
        <w:rPr>
          <w:rFonts w:ascii="宋体" w:hAnsi="宋体" w:eastAsia="宋体" w:cs="宋体"/>
          <w:b/>
          <w:color w:val="000000"/>
          <w:spacing w:val="53"/>
          <w:kern w:val="0"/>
          <w:sz w:val="36"/>
          <w:szCs w:val="36"/>
        </w:rPr>
      </w:pPr>
      <w:r>
        <w:rPr>
          <w:rFonts w:hint="eastAsia" w:ascii="宋体" w:hAnsi="宋体" w:eastAsia="宋体" w:cs="宋体"/>
          <w:b/>
          <w:color w:val="000000"/>
          <w:spacing w:val="53"/>
          <w:kern w:val="0"/>
          <w:sz w:val="36"/>
          <w:szCs w:val="36"/>
        </w:rPr>
        <w:t>填制人</w:t>
      </w:r>
      <w:r>
        <w:rPr>
          <w:rFonts w:hint="eastAsia" w:ascii="宋体" w:hAnsi="宋体" w:eastAsia="宋体" w:cs="宋体"/>
          <w:b/>
          <w:color w:val="000000"/>
          <w:kern w:val="0"/>
          <w:sz w:val="36"/>
          <w:szCs w:val="36"/>
        </w:rPr>
        <w:t>：</w:t>
      </w:r>
      <w:r>
        <w:rPr>
          <w:rFonts w:hint="eastAsia" w:ascii="宋体" w:hAnsi="宋体" w:eastAsia="宋体" w:cs="宋体"/>
          <w:b/>
          <w:color w:val="000000"/>
          <w:spacing w:val="54"/>
          <w:kern w:val="0"/>
          <w:sz w:val="36"/>
          <w:szCs w:val="36"/>
          <w:u w:val="single"/>
        </w:rPr>
        <w:t xml:space="preserve"> </w:t>
      </w:r>
      <w:r>
        <w:rPr>
          <w:rFonts w:hint="eastAsia" w:ascii="宋体" w:hAnsi="宋体" w:eastAsia="宋体" w:cs="宋体"/>
          <w:b/>
          <w:color w:val="000000"/>
          <w:kern w:val="0"/>
          <w:sz w:val="36"/>
          <w:szCs w:val="36"/>
          <w:u w:val="single"/>
        </w:rPr>
        <w:t xml:space="preserve">                 </w:t>
      </w:r>
      <w:r>
        <w:rPr>
          <w:rFonts w:hint="eastAsia" w:ascii="宋体" w:hAnsi="宋体" w:eastAsia="宋体" w:cs="宋体"/>
          <w:b/>
          <w:color w:val="000000"/>
          <w:kern w:val="0"/>
          <w:sz w:val="36"/>
          <w:szCs w:val="36"/>
        </w:rPr>
        <w:t xml:space="preserve">     移交人：         接管人：</w:t>
      </w:r>
    </w:p>
    <w:p>
      <w:pPr>
        <w:widowControl/>
        <w:spacing w:line="288" w:lineRule="auto"/>
        <w:ind w:firstLine="5126" w:firstLineChars="1602"/>
        <w:rPr>
          <w:rFonts w:ascii="方正小标宋简体" w:hAnsi="Arial" w:eastAsia="方正小标宋简体" w:cs="Arial"/>
          <w:color w:val="000000"/>
          <w:kern w:val="0"/>
          <w:sz w:val="32"/>
          <w:szCs w:val="32"/>
        </w:rPr>
      </w:pPr>
    </w:p>
    <w:p>
      <w:pPr>
        <w:jc w:val="center"/>
        <w:rPr>
          <w:rFonts w:eastAsia="楷体_GB2312"/>
          <w:b/>
          <w:sz w:val="36"/>
          <w:szCs w:val="36"/>
        </w:rPr>
        <w:sectPr>
          <w:pgSz w:w="16838" w:h="11906" w:orient="landscape"/>
          <w:pgMar w:top="1701" w:right="1644" w:bottom="1644" w:left="1644" w:header="851" w:footer="992" w:gutter="0"/>
          <w:pgNumType w:fmt="decimal"/>
          <w:cols w:space="0" w:num="1"/>
          <w:rtlGutter w:val="0"/>
          <w:docGrid w:type="lines" w:linePitch="317" w:charSpace="0"/>
        </w:sectPr>
      </w:pPr>
    </w:p>
    <w:p>
      <w:pPr>
        <w:spacing w:line="400" w:lineRule="exact"/>
        <w:jc w:val="center"/>
        <w:rPr>
          <w:rFonts w:eastAsia="楷体_GB2312"/>
          <w:b/>
          <w:sz w:val="36"/>
          <w:szCs w:val="36"/>
        </w:rPr>
      </w:pPr>
      <w:r>
        <w:rPr>
          <w:rFonts w:hint="eastAsia" w:eastAsia="楷体_GB2312"/>
          <w:b/>
          <w:sz w:val="36"/>
          <w:szCs w:val="36"/>
        </w:rPr>
        <w:t>使  用  说  明</w:t>
      </w:r>
    </w:p>
    <w:p>
      <w:pPr>
        <w:spacing w:line="400" w:lineRule="exact"/>
        <w:ind w:firstLine="560" w:firstLineChars="200"/>
        <w:rPr>
          <w:rFonts w:hint="eastAsia" w:ascii="仿宋_GB2312" w:hAnsi="宋体" w:eastAsia="仿宋_GB2312" w:cs="宋体"/>
          <w:color w:val="000000"/>
          <w:kern w:val="0"/>
          <w:sz w:val="28"/>
          <w:szCs w:val="28"/>
        </w:rPr>
      </w:pPr>
    </w:p>
    <w:p>
      <w:pPr>
        <w:spacing w:line="4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本台账包括农</w:t>
      </w:r>
      <w:r>
        <w:rPr>
          <w:rFonts w:hint="eastAsia" w:ascii="仿宋_GB2312" w:hAnsi="宋体" w:eastAsia="仿宋_GB2312" w:cs="宋体"/>
          <w:color w:val="000000"/>
          <w:spacing w:val="-6"/>
          <w:kern w:val="0"/>
          <w:sz w:val="28"/>
          <w:szCs w:val="28"/>
        </w:rPr>
        <w:t>村集体资源台账和农村集体资产台账两部分，资源台账由《农村集体所有资源总体情况台账》《农村集体统一管理的经营性资源明细台账》构成，资产台账由《农村集体固定资产明细台账》《农村集体经营性固定资产经营使用情况明细台账》构成。</w:t>
      </w:r>
      <w:r>
        <w:rPr>
          <w:rFonts w:hint="eastAsia" w:ascii="仿宋_GB2312" w:hAnsi="宋体" w:eastAsia="仿宋_GB2312" w:cs="宋体"/>
          <w:color w:val="000000"/>
          <w:kern w:val="0"/>
          <w:sz w:val="28"/>
          <w:szCs w:val="28"/>
        </w:rPr>
        <w:t>本台账统一采用活页账格式，以每个村或独立核算组为登记单位，每个单位装订一册。本台账格式为全省统一制式，</w:t>
      </w:r>
      <w:r>
        <w:rPr>
          <w:rFonts w:hint="eastAsia" w:ascii="仿宋_GB2312" w:hAnsi="宋体" w:eastAsia="仿宋_GB2312" w:cs="宋体"/>
          <w:color w:val="000000"/>
          <w:kern w:val="0"/>
          <w:sz w:val="28"/>
          <w:szCs w:val="28"/>
          <w:lang w:eastAsia="zh-CN"/>
        </w:rPr>
        <w:t>每</w:t>
      </w:r>
      <w:r>
        <w:rPr>
          <w:rFonts w:hint="eastAsia" w:ascii="仿宋_GB2312" w:hAnsi="宋体" w:eastAsia="仿宋_GB2312" w:cs="宋体"/>
          <w:color w:val="000000"/>
          <w:kern w:val="0"/>
          <w:sz w:val="28"/>
          <w:szCs w:val="28"/>
        </w:rPr>
        <w:t>年1月1日正式启用，台账中期初数据填制</w:t>
      </w:r>
      <w:r>
        <w:rPr>
          <w:rFonts w:hint="eastAsia" w:ascii="仿宋_GB2312" w:hAnsi="宋体" w:eastAsia="仿宋_GB2312" w:cs="宋体"/>
          <w:color w:val="000000"/>
          <w:kern w:val="0"/>
          <w:sz w:val="28"/>
          <w:szCs w:val="28"/>
          <w:lang w:eastAsia="zh-CN"/>
        </w:rPr>
        <w:t>上</w:t>
      </w:r>
      <w:r>
        <w:rPr>
          <w:rFonts w:hint="eastAsia" w:ascii="仿宋_GB2312" w:hAnsi="宋体" w:eastAsia="仿宋_GB2312" w:cs="宋体"/>
          <w:color w:val="000000"/>
          <w:kern w:val="0"/>
          <w:sz w:val="28"/>
          <w:szCs w:val="28"/>
        </w:rPr>
        <w:t>年年底数据。</w:t>
      </w:r>
    </w:p>
    <w:p>
      <w:pPr>
        <w:spacing w:line="400" w:lineRule="exact"/>
        <w:ind w:firstLine="536" w:firstLineChars="200"/>
        <w:rPr>
          <w:rFonts w:ascii="仿宋_GB2312" w:hAnsi="宋体" w:eastAsia="仿宋_GB2312" w:cs="宋体"/>
          <w:color w:val="000000"/>
          <w:spacing w:val="-6"/>
          <w:kern w:val="0"/>
          <w:sz w:val="28"/>
          <w:szCs w:val="28"/>
        </w:rPr>
      </w:pPr>
      <w:r>
        <w:rPr>
          <w:rFonts w:hint="eastAsia" w:ascii="仿宋_GB2312" w:hAnsi="宋体" w:eastAsia="仿宋_GB2312" w:cs="宋体"/>
          <w:color w:val="000000"/>
          <w:spacing w:val="-6"/>
          <w:kern w:val="0"/>
          <w:sz w:val="28"/>
          <w:szCs w:val="28"/>
        </w:rPr>
        <w:t>一、农村集体所有资源总体情况台账。本台账用以反映</w:t>
      </w:r>
      <w:r>
        <w:rPr>
          <w:rFonts w:hint="eastAsia" w:ascii="仿宋_GB2312" w:hAnsi="宋体" w:eastAsia="仿宋_GB2312" w:cs="宋体"/>
          <w:color w:val="000000"/>
          <w:kern w:val="0"/>
          <w:sz w:val="28"/>
          <w:szCs w:val="28"/>
        </w:rPr>
        <w:t>村或独立核算组</w:t>
      </w:r>
      <w:r>
        <w:rPr>
          <w:rFonts w:hint="eastAsia" w:ascii="仿宋_GB2312" w:hAnsi="宋体" w:eastAsia="仿宋_GB2312" w:cs="宋体"/>
          <w:color w:val="000000"/>
          <w:spacing w:val="-6"/>
          <w:kern w:val="0"/>
          <w:sz w:val="28"/>
          <w:szCs w:val="28"/>
        </w:rPr>
        <w:t>各类别土地的总体分布、增减变动情况。土地资源未发生变动的年度，不填制本表；土地资源发生变动的年度，填制本表。本</w:t>
      </w:r>
      <w:r>
        <w:rPr>
          <w:rFonts w:hint="eastAsia" w:ascii="仿宋_GB2312" w:hAnsi="宋体" w:eastAsia="仿宋_GB2312" w:cs="宋体"/>
          <w:color w:val="000000"/>
          <w:kern w:val="0"/>
          <w:sz w:val="28"/>
          <w:szCs w:val="28"/>
        </w:rPr>
        <w:t>台账中，期初面积填制</w:t>
      </w:r>
      <w:r>
        <w:rPr>
          <w:rFonts w:hint="eastAsia" w:ascii="仿宋_GB2312" w:hAnsi="宋体" w:eastAsia="仿宋_GB2312" w:cs="宋体"/>
          <w:color w:val="000000"/>
          <w:kern w:val="0"/>
          <w:sz w:val="28"/>
          <w:szCs w:val="28"/>
          <w:lang w:eastAsia="zh-CN"/>
        </w:rPr>
        <w:t>上</w:t>
      </w:r>
      <w:r>
        <w:rPr>
          <w:rFonts w:hint="eastAsia" w:ascii="仿宋_GB2312" w:hAnsi="宋体" w:eastAsia="仿宋_GB2312" w:cs="宋体"/>
          <w:color w:val="000000"/>
          <w:kern w:val="0"/>
          <w:sz w:val="28"/>
          <w:szCs w:val="28"/>
        </w:rPr>
        <w:t>年年底的数据，根据开展建立村级集体财富积累机制工作过程中清产核资确认后的数据，结合补充调查情况确定；期末面积填制资源变动年度年末的数据。</w:t>
      </w:r>
      <w:r>
        <w:rPr>
          <w:rFonts w:hint="eastAsia" w:ascii="仿宋_GB2312" w:hAnsi="宋体" w:eastAsia="仿宋_GB2312" w:cs="宋体"/>
          <w:color w:val="000000"/>
          <w:spacing w:val="-6"/>
          <w:kern w:val="0"/>
          <w:sz w:val="28"/>
          <w:szCs w:val="28"/>
        </w:rPr>
        <w:t xml:space="preserve">台账中的家庭承包按《农村土地承包法》中关于“家庭承包”的有关规定执行。统一管理的农用地面积指由村或组集体集中管理的用于农业的土地面积。建设用地面积按照实际占用的面积填制，未经审批但已占用的面积计算在内。 </w:t>
      </w:r>
    </w:p>
    <w:p>
      <w:pPr>
        <w:spacing w:line="400" w:lineRule="exact"/>
        <w:ind w:firstLine="536" w:firstLineChars="200"/>
        <w:rPr>
          <w:rFonts w:ascii="仿宋_GB2312" w:hAnsi="宋体" w:eastAsia="仿宋_GB2312" w:cs="宋体"/>
          <w:color w:val="000000"/>
          <w:spacing w:val="-6"/>
          <w:kern w:val="0"/>
          <w:sz w:val="28"/>
          <w:szCs w:val="28"/>
        </w:rPr>
      </w:pPr>
      <w:r>
        <w:rPr>
          <w:rFonts w:hint="eastAsia" w:ascii="仿宋_GB2312" w:hAnsi="宋体" w:eastAsia="仿宋_GB2312" w:cs="宋体"/>
          <w:color w:val="000000"/>
          <w:spacing w:val="-6"/>
          <w:kern w:val="0"/>
          <w:sz w:val="28"/>
          <w:szCs w:val="28"/>
        </w:rPr>
        <w:t>二、农村集体统一管理的经营性资源明细台账。本台账用于明细反映</w:t>
      </w:r>
      <w:r>
        <w:rPr>
          <w:rFonts w:hint="eastAsia" w:ascii="仿宋_GB2312" w:hAnsi="宋体" w:eastAsia="仿宋_GB2312" w:cs="宋体"/>
          <w:color w:val="000000"/>
          <w:kern w:val="0"/>
          <w:sz w:val="28"/>
          <w:szCs w:val="28"/>
        </w:rPr>
        <w:t>村或独立核算组</w:t>
      </w:r>
      <w:r>
        <w:rPr>
          <w:rFonts w:hint="eastAsia" w:ascii="仿宋_GB2312" w:hAnsi="宋体" w:eastAsia="仿宋_GB2312" w:cs="宋体"/>
          <w:color w:val="000000"/>
          <w:spacing w:val="-6"/>
          <w:kern w:val="0"/>
          <w:sz w:val="28"/>
          <w:szCs w:val="28"/>
        </w:rPr>
        <w:t>集体统一管理的可以以统一经营、承包、出租、投资等方式经营利用的资源存量、使用和收益情况。尚未利用的具有经营性功能的资源也要登记在本台账中。本台账以地块为单位设置账页，每一个地块设置一页。</w:t>
      </w:r>
    </w:p>
    <w:p>
      <w:pPr>
        <w:spacing w:line="4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填制时，首先确认资源权属单位，按照土地所有权实际权属关系，填制村或组名称；其次，填制地块名称；随后，确认资源类型、类别，按照土地资源实际类型、类别进行选择，在所选类型、类别前的方框内打“√”。摘要栏简要填制该资源的使用状况及变动原因。面积填制</w:t>
      </w:r>
      <w:r>
        <w:rPr>
          <w:rFonts w:hint="eastAsia" w:ascii="仿宋_GB2312" w:hAnsi="宋体" w:eastAsia="仿宋_GB2312" w:cs="宋体"/>
          <w:color w:val="000000"/>
          <w:kern w:val="0"/>
          <w:sz w:val="28"/>
          <w:szCs w:val="28"/>
          <w:lang w:eastAsia="zh-CN"/>
        </w:rPr>
        <w:t>上</w:t>
      </w:r>
      <w:r>
        <w:rPr>
          <w:rFonts w:hint="eastAsia" w:ascii="仿宋_GB2312" w:hAnsi="宋体" w:eastAsia="仿宋_GB2312" w:cs="宋体"/>
          <w:color w:val="000000"/>
          <w:kern w:val="0"/>
          <w:sz w:val="28"/>
          <w:szCs w:val="28"/>
        </w:rPr>
        <w:t>年年底的数据，根据开展建立村级集体财富积累机制工作过程中清产核资确认后的数据，结合补充调查情况确定。四至栏填制该地块的四周边界。</w:t>
      </w:r>
      <w:r>
        <w:rPr>
          <w:rFonts w:hint="eastAsia" w:ascii="仿宋_GB2312" w:hAnsi="宋体" w:eastAsia="仿宋_GB2312" w:cs="宋体"/>
          <w:color w:val="000000"/>
          <w:spacing w:val="-6"/>
          <w:kern w:val="0"/>
          <w:sz w:val="28"/>
          <w:szCs w:val="28"/>
        </w:rPr>
        <w:t>单位名称填制依照合同获得该项资源经营使用权的单位或个人名称。利用方式填制该项资源的经管管理形式，分别按照统一经营、承包、出租、投资、其它五种类型填列，其中的</w:t>
      </w:r>
      <w:r>
        <w:rPr>
          <w:rFonts w:hint="eastAsia" w:ascii="仿宋_GB2312" w:hAnsi="宋体" w:eastAsia="仿宋_GB2312" w:cs="宋体"/>
          <w:color w:val="000000"/>
          <w:kern w:val="0"/>
          <w:sz w:val="28"/>
          <w:szCs w:val="28"/>
        </w:rPr>
        <w:t>统一经营指村或独立核算组集体通过直接投资兴办经营实体开展生产经营活动，尚未利用的具有经营性功能的资源统一填制在“其它”方式中。</w:t>
      </w:r>
      <w:r>
        <w:rPr>
          <w:rFonts w:hint="eastAsia" w:ascii="仿宋_GB2312" w:hAnsi="宋体" w:eastAsia="仿宋_GB2312" w:cs="宋体"/>
          <w:color w:val="000000"/>
          <w:spacing w:val="-6"/>
          <w:kern w:val="0"/>
          <w:sz w:val="28"/>
          <w:szCs w:val="28"/>
        </w:rPr>
        <w:t>合同编号填制</w:t>
      </w:r>
      <w:r>
        <w:rPr>
          <w:rFonts w:hint="eastAsia" w:ascii="仿宋_GB2312" w:hAnsi="宋体" w:eastAsia="仿宋_GB2312" w:cs="宋体"/>
          <w:color w:val="000000"/>
          <w:kern w:val="0"/>
          <w:sz w:val="28"/>
          <w:szCs w:val="28"/>
        </w:rPr>
        <w:t>村或独立核算组</w:t>
      </w:r>
      <w:r>
        <w:rPr>
          <w:rFonts w:hint="eastAsia" w:ascii="仿宋_GB2312" w:hAnsi="宋体" w:eastAsia="仿宋_GB2312" w:cs="宋体"/>
          <w:color w:val="000000"/>
          <w:spacing w:val="-6"/>
          <w:kern w:val="0"/>
          <w:sz w:val="28"/>
          <w:szCs w:val="28"/>
        </w:rPr>
        <w:t>集体对该项资源对外承包投资租赁合同的编号。年收益额填制该项资源以统一经营、出租、承包、投资等形式获得或合同确认的年度收益总额。收益方式填制</w:t>
      </w:r>
      <w:r>
        <w:rPr>
          <w:rFonts w:hint="eastAsia" w:ascii="仿宋_GB2312" w:hAnsi="宋体" w:eastAsia="仿宋_GB2312" w:cs="宋体"/>
          <w:color w:val="000000"/>
          <w:kern w:val="0"/>
          <w:sz w:val="28"/>
          <w:szCs w:val="28"/>
        </w:rPr>
        <w:t>村或独立核算组</w:t>
      </w:r>
      <w:r>
        <w:rPr>
          <w:rFonts w:hint="eastAsia" w:ascii="仿宋_GB2312" w:hAnsi="宋体" w:eastAsia="仿宋_GB2312" w:cs="宋体"/>
          <w:color w:val="000000"/>
          <w:spacing w:val="-6"/>
          <w:kern w:val="0"/>
          <w:sz w:val="28"/>
          <w:szCs w:val="28"/>
        </w:rPr>
        <w:t>集体经济组织获取该项资源对外投资收益的期限，依据合同规定，分别按照月缴、季缴、年缴、一次性收取、其它五种方式填列。兑现金额指实际收到的租金、承包金、投资收益或实现的统一经营收益。</w:t>
      </w:r>
    </w:p>
    <w:p>
      <w:pPr>
        <w:spacing w:line="4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三、农村集体固定资产明细台账。</w:t>
      </w:r>
      <w:r>
        <w:rPr>
          <w:rFonts w:hint="eastAsia" w:ascii="仿宋_GB2312" w:hAnsi="宋体" w:eastAsia="仿宋_GB2312" w:cs="宋体"/>
          <w:color w:val="000000"/>
          <w:spacing w:val="-6"/>
          <w:kern w:val="0"/>
          <w:sz w:val="28"/>
          <w:szCs w:val="28"/>
        </w:rPr>
        <w:t>本台账</w:t>
      </w:r>
      <w:r>
        <w:rPr>
          <w:rFonts w:hint="eastAsia" w:ascii="仿宋_GB2312" w:hAnsi="宋体" w:eastAsia="仿宋_GB2312" w:cs="宋体"/>
          <w:color w:val="000000"/>
          <w:kern w:val="0"/>
          <w:sz w:val="28"/>
          <w:szCs w:val="28"/>
        </w:rPr>
        <w:t>明细反映村或独立核算组集体的各类别固定资产存量和使用状态情况。本台账依据村或独立核算组集体各项固定资产设置账页，每一项固定资产设置一个账页。</w:t>
      </w:r>
    </w:p>
    <w:p>
      <w:pPr>
        <w:spacing w:line="4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四、农</w:t>
      </w:r>
      <w:r>
        <w:rPr>
          <w:rFonts w:hint="eastAsia" w:ascii="仿宋_GB2312" w:hAnsi="宋体" w:eastAsia="仿宋_GB2312" w:cs="宋体"/>
          <w:color w:val="000000"/>
          <w:spacing w:val="-6"/>
          <w:kern w:val="0"/>
          <w:sz w:val="28"/>
          <w:szCs w:val="28"/>
        </w:rPr>
        <w:t>村集体经营性固定资产经营使用情况明细台账</w:t>
      </w:r>
      <w:r>
        <w:rPr>
          <w:rFonts w:hint="eastAsia" w:ascii="仿宋_GB2312" w:hAnsi="宋体" w:eastAsia="仿宋_GB2312" w:cs="宋体"/>
          <w:color w:val="000000"/>
          <w:kern w:val="0"/>
          <w:sz w:val="28"/>
          <w:szCs w:val="28"/>
        </w:rPr>
        <w:t>。本台账明细反映村或独立核算组集体经济组织采取</w:t>
      </w:r>
      <w:r>
        <w:rPr>
          <w:rFonts w:hint="eastAsia" w:ascii="仿宋_GB2312" w:hAnsi="宋体" w:eastAsia="仿宋_GB2312" w:cs="宋体"/>
          <w:color w:val="000000"/>
          <w:spacing w:val="-6"/>
          <w:kern w:val="0"/>
          <w:sz w:val="28"/>
          <w:szCs w:val="28"/>
        </w:rPr>
        <w:t>承包、出租、投资</w:t>
      </w:r>
      <w:r>
        <w:rPr>
          <w:rFonts w:hint="eastAsia" w:ascii="仿宋_GB2312" w:hAnsi="宋体" w:eastAsia="仿宋_GB2312" w:cs="宋体"/>
          <w:color w:val="000000"/>
          <w:kern w:val="0"/>
          <w:sz w:val="28"/>
          <w:szCs w:val="28"/>
        </w:rPr>
        <w:t>等方式经营的固定资产存量和管理使用情况。</w:t>
      </w:r>
      <w:r>
        <w:rPr>
          <w:rFonts w:hint="eastAsia" w:ascii="仿宋_GB2312" w:hAnsi="宋体" w:eastAsia="仿宋_GB2312" w:cs="宋体"/>
          <w:color w:val="000000"/>
          <w:kern w:val="0"/>
          <w:sz w:val="28"/>
          <w:szCs w:val="28"/>
          <w:lang w:val="zh-CN"/>
        </w:rPr>
        <w:t>本台账不登记虽属经营性固定资产，但尚未采取承包、出租、投资等方式经营利用的固定资产。</w:t>
      </w:r>
      <w:r>
        <w:rPr>
          <w:rFonts w:hint="eastAsia" w:ascii="仿宋_GB2312" w:hAnsi="宋体" w:eastAsia="仿宋_GB2312" w:cs="宋体"/>
          <w:color w:val="000000"/>
          <w:kern w:val="0"/>
          <w:sz w:val="28"/>
          <w:szCs w:val="28"/>
        </w:rPr>
        <w:t>本台账以单个固定资产为单位设置账页，明细反映该固定资产经营使用变动情况。台账中的摘要栏简要填制该项资产的经营管理现状及变动原因。使用方式填制该项资产的经营管理形式，</w:t>
      </w:r>
      <w:r>
        <w:rPr>
          <w:rFonts w:hint="eastAsia" w:ascii="仿宋_GB2312" w:hAnsi="宋体" w:eastAsia="仿宋_GB2312" w:cs="宋体"/>
          <w:color w:val="000000"/>
          <w:spacing w:val="-6"/>
          <w:kern w:val="0"/>
          <w:sz w:val="28"/>
          <w:szCs w:val="28"/>
        </w:rPr>
        <w:t>按照统一经营、承包、出租、投资、其它五种类型填列</w:t>
      </w:r>
      <w:r>
        <w:rPr>
          <w:rFonts w:hint="eastAsia" w:ascii="仿宋_GB2312" w:hAnsi="宋体" w:eastAsia="仿宋_GB2312" w:cs="宋体"/>
          <w:color w:val="000000"/>
          <w:kern w:val="0"/>
          <w:sz w:val="28"/>
          <w:szCs w:val="28"/>
        </w:rPr>
        <w:t>。单位名称填制以承包、出租、投资等方式获得该项资产经营使用权的单位或个人名称。合同编号填制村或独立核算组集体对该项资产以承包、出租、投资等形式经营过程中所签订的合同的编号。</w:t>
      </w:r>
      <w:r>
        <w:rPr>
          <w:rFonts w:hint="eastAsia" w:ascii="仿宋_GB2312" w:hAnsi="宋体" w:eastAsia="仿宋_GB2312" w:cs="宋体"/>
          <w:color w:val="000000"/>
          <w:spacing w:val="-6"/>
          <w:kern w:val="0"/>
          <w:sz w:val="28"/>
          <w:szCs w:val="28"/>
        </w:rPr>
        <w:t>年收益额填制该项固定资产以统一经营、出租、承包、投资等形式获得或合同确认的年度收益总额。兑现金额指实际收到的租金、承包金、投资收益或实现的统一经营收益。</w:t>
      </w:r>
      <w:r>
        <w:rPr>
          <w:rFonts w:hint="eastAsia" w:ascii="仿宋_GB2312" w:hAnsi="宋体" w:eastAsia="仿宋_GB2312" w:cs="宋体"/>
          <w:color w:val="000000"/>
          <w:kern w:val="0"/>
          <w:sz w:val="28"/>
          <w:szCs w:val="28"/>
        </w:rPr>
        <w:t>收回时状态填制该项资产在对外投资合同终结收回时的可使用状态。收回时价值或评估价值填制该项资产在对外投资合同终结收回时的残余价值或评估价值。</w:t>
      </w:r>
    </w:p>
    <w:p>
      <w:pPr>
        <w:spacing w:line="4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w:t>
      </w:r>
      <w:r>
        <w:rPr>
          <w:rFonts w:hint="eastAsia" w:ascii="仿宋_GB2312" w:hAnsi="宋体" w:eastAsia="仿宋_GB2312" w:cs="宋体"/>
          <w:color w:val="000000"/>
          <w:spacing w:val="-6"/>
          <w:kern w:val="0"/>
          <w:sz w:val="28"/>
          <w:szCs w:val="28"/>
        </w:rPr>
        <w:t>《农村集体统一管理的经营性资源明细台账》《农村集体固定资产明细台账》《农村集体经营性固定资产经营使用情况明细台账》等明细</w:t>
      </w:r>
      <w:r>
        <w:rPr>
          <w:rFonts w:hint="eastAsia" w:ascii="仿宋_GB2312" w:hAnsi="宋体" w:eastAsia="仿宋_GB2312" w:cs="宋体"/>
          <w:color w:val="000000"/>
          <w:kern w:val="0"/>
          <w:sz w:val="28"/>
          <w:szCs w:val="28"/>
        </w:rPr>
        <w:t>台账按顺序连续记载。</w:t>
      </w:r>
    </w:p>
    <w:p>
      <w:pPr>
        <w:spacing w:line="4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六、登记台账时使用黑色或蓝黑墨水笔书写，不得使用铅笔或圆珠笔。</w:t>
      </w:r>
    </w:p>
    <w:p>
      <w:pPr>
        <w:widowControl/>
        <w:tabs>
          <w:tab w:val="left" w:pos="10800"/>
        </w:tabs>
        <w:spacing w:line="260" w:lineRule="atLeast"/>
        <w:ind w:firstLine="5519" w:firstLineChars="1527"/>
        <w:jc w:val="left"/>
        <w:rPr>
          <w:rFonts w:hint="eastAsia" w:ascii="宋体" w:hAnsi="宋体"/>
          <w:b/>
          <w:color w:val="000000"/>
          <w:kern w:val="0"/>
          <w:sz w:val="36"/>
          <w:szCs w:val="36"/>
        </w:rPr>
      </w:pPr>
    </w:p>
    <w:p>
      <w:pPr>
        <w:keepNext w:val="0"/>
        <w:keepLines w:val="0"/>
        <w:pageBreakBefore w:val="0"/>
        <w:widowControl/>
        <w:tabs>
          <w:tab w:val="left" w:pos="10800"/>
        </w:tabs>
        <w:kinsoku/>
        <w:wordWrap/>
        <w:overflowPunct/>
        <w:topLinePunct w:val="0"/>
        <w:autoSpaceDE/>
        <w:autoSpaceDN/>
        <w:bidi w:val="0"/>
        <w:adjustRightInd/>
        <w:snapToGrid/>
        <w:spacing w:before="0" w:beforeLines="0" w:after="0" w:afterLines="0" w:line="260" w:lineRule="atLeast"/>
        <w:ind w:right="0" w:rightChars="0"/>
        <w:jc w:val="center"/>
        <w:textAlignment w:val="auto"/>
        <w:outlineLvl w:val="9"/>
        <w:rPr>
          <w:rFonts w:hint="eastAsia" w:ascii="宋体" w:hAnsi="宋体"/>
          <w:b w:val="0"/>
          <w:bCs/>
          <w:color w:val="000000"/>
          <w:spacing w:val="20"/>
          <w:kern w:val="0"/>
          <w:sz w:val="21"/>
          <w:szCs w:val="21"/>
        </w:rPr>
      </w:pPr>
      <w:r>
        <w:rPr>
          <w:rFonts w:hint="eastAsia" w:ascii="宋体" w:hAnsi="宋体"/>
          <w:b/>
          <w:color w:val="000000"/>
          <w:spacing w:val="0"/>
          <w:kern w:val="0"/>
          <w:sz w:val="36"/>
          <w:szCs w:val="36"/>
          <w:lang w:eastAsia="zh-CN"/>
        </w:rPr>
        <w:t>农</w:t>
      </w:r>
      <w:r>
        <w:rPr>
          <w:rFonts w:hint="eastAsia" w:ascii="宋体" w:hAnsi="宋体"/>
          <w:b/>
          <w:color w:val="000000"/>
          <w:spacing w:val="0"/>
          <w:kern w:val="0"/>
          <w:sz w:val="36"/>
          <w:szCs w:val="36"/>
        </w:rPr>
        <w:t>村集体所有资源</w:t>
      </w:r>
      <w:r>
        <w:rPr>
          <w:rFonts w:hint="eastAsia" w:ascii="宋体" w:hAnsi="宋体"/>
          <w:b/>
          <w:color w:val="000000"/>
          <w:spacing w:val="0"/>
          <w:kern w:val="0"/>
          <w:sz w:val="36"/>
          <w:szCs w:val="36"/>
          <w:lang w:eastAsia="zh-CN"/>
        </w:rPr>
        <w:t>总体情况台账</w:t>
      </w:r>
    </w:p>
    <w:p>
      <w:pPr>
        <w:keepNext w:val="0"/>
        <w:keepLines w:val="0"/>
        <w:pageBreakBefore w:val="0"/>
        <w:widowControl/>
        <w:tabs>
          <w:tab w:val="left" w:pos="10800"/>
        </w:tabs>
        <w:kinsoku/>
        <w:wordWrap/>
        <w:overflowPunct/>
        <w:topLinePunct w:val="0"/>
        <w:autoSpaceDE/>
        <w:autoSpaceDN/>
        <w:bidi w:val="0"/>
        <w:adjustRightInd/>
        <w:snapToGrid/>
        <w:spacing w:before="0" w:beforeLines="0" w:after="0" w:afterLines="0" w:line="260" w:lineRule="atLeast"/>
        <w:ind w:left="0" w:leftChars="0" w:right="0" w:rightChars="0"/>
        <w:jc w:val="both"/>
        <w:textAlignment w:val="auto"/>
        <w:outlineLvl w:val="9"/>
        <w:rPr>
          <w:rFonts w:hint="eastAsia" w:ascii="宋体" w:hAnsi="宋体" w:eastAsia="宋体"/>
          <w:b w:val="0"/>
          <w:bCs/>
          <w:color w:val="000000"/>
          <w:spacing w:val="20"/>
          <w:kern w:val="0"/>
          <w:sz w:val="15"/>
          <w:szCs w:val="15"/>
          <w:lang w:eastAsia="zh-CN"/>
        </w:rPr>
      </w:pPr>
      <w:r>
        <w:rPr>
          <w:rFonts w:hint="eastAsia" w:ascii="宋体" w:hAnsi="宋体"/>
          <w:b w:val="0"/>
          <w:bCs/>
          <w:color w:val="000000"/>
          <w:spacing w:val="20"/>
          <w:kern w:val="0"/>
          <w:sz w:val="15"/>
          <w:szCs w:val="15"/>
          <w:lang w:eastAsia="zh-CN"/>
        </w:rPr>
        <w:t>权属单位：</w:t>
      </w:r>
      <w:r>
        <w:rPr>
          <w:rFonts w:hint="eastAsia" w:ascii="宋体" w:hAnsi="宋体"/>
          <w:b w:val="0"/>
          <w:bCs/>
          <w:color w:val="000000"/>
          <w:spacing w:val="20"/>
          <w:kern w:val="0"/>
          <w:sz w:val="15"/>
          <w:szCs w:val="15"/>
          <w:lang w:val="en-US" w:eastAsia="zh-CN"/>
        </w:rPr>
        <w:t xml:space="preserve">                                                                              </w:t>
      </w:r>
      <w:r>
        <w:rPr>
          <w:rFonts w:hint="eastAsia" w:ascii="宋体" w:hAnsi="宋体"/>
          <w:b w:val="0"/>
          <w:bCs/>
          <w:color w:val="000000"/>
          <w:spacing w:val="20"/>
          <w:kern w:val="0"/>
          <w:sz w:val="15"/>
          <w:szCs w:val="15"/>
        </w:rPr>
        <w:t>单位：亩</w:t>
      </w:r>
    </w:p>
    <w:tbl>
      <w:tblPr>
        <w:tblStyle w:val="9"/>
        <w:tblW w:w="13763" w:type="dxa"/>
        <w:tblInd w:w="0" w:type="dxa"/>
        <w:tblLayout w:type="fixed"/>
        <w:tblCellMar>
          <w:top w:w="0" w:type="dxa"/>
          <w:left w:w="108" w:type="dxa"/>
          <w:bottom w:w="0" w:type="dxa"/>
          <w:right w:w="108" w:type="dxa"/>
        </w:tblCellMar>
      </w:tblPr>
      <w:tblGrid>
        <w:gridCol w:w="818"/>
        <w:gridCol w:w="1829"/>
        <w:gridCol w:w="940"/>
        <w:gridCol w:w="849"/>
        <w:gridCol w:w="848"/>
        <w:gridCol w:w="848"/>
        <w:gridCol w:w="848"/>
        <w:gridCol w:w="849"/>
        <w:gridCol w:w="848"/>
        <w:gridCol w:w="848"/>
        <w:gridCol w:w="847"/>
        <w:gridCol w:w="848"/>
        <w:gridCol w:w="848"/>
        <w:gridCol w:w="847"/>
        <w:gridCol w:w="848"/>
      </w:tblGrid>
      <w:tr>
        <w:tblPrEx>
          <w:tblLayout w:type="fixed"/>
          <w:tblCellMar>
            <w:top w:w="0" w:type="dxa"/>
            <w:left w:w="108" w:type="dxa"/>
            <w:bottom w:w="0" w:type="dxa"/>
            <w:right w:w="108" w:type="dxa"/>
          </w:tblCellMar>
        </w:tblPrEx>
        <w:trPr>
          <w:cantSplit/>
          <w:trHeight w:val="210" w:hRule="exact"/>
        </w:trPr>
        <w:tc>
          <w:tcPr>
            <w:tcW w:w="818"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kern w:val="0"/>
                <w:sz w:val="15"/>
                <w:szCs w:val="15"/>
              </w:rPr>
            </w:pPr>
            <w:r>
              <w:rPr>
                <w:rFonts w:hint="eastAsia" w:ascii="宋体" w:hAnsi="宋体" w:cs="宋体"/>
                <w:kern w:val="0"/>
                <w:sz w:val="15"/>
                <w:szCs w:val="15"/>
              </w:rPr>
              <w:t>资源</w:t>
            </w:r>
          </w:p>
          <w:p>
            <w:pPr>
              <w:jc w:val="center"/>
              <w:rPr>
                <w:rFonts w:ascii="宋体" w:hAnsi="宋体" w:cs="宋体"/>
                <w:kern w:val="0"/>
                <w:sz w:val="15"/>
                <w:szCs w:val="15"/>
              </w:rPr>
            </w:pPr>
            <w:r>
              <w:rPr>
                <w:rFonts w:hint="eastAsia" w:ascii="宋体" w:hAnsi="宋体" w:cs="宋体"/>
                <w:kern w:val="0"/>
                <w:sz w:val="15"/>
                <w:szCs w:val="15"/>
              </w:rPr>
              <w:t>类型</w:t>
            </w:r>
          </w:p>
        </w:tc>
        <w:tc>
          <w:tcPr>
            <w:tcW w:w="1829"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 w:val="15"/>
                <w:szCs w:val="15"/>
              </w:rPr>
            </w:pPr>
            <w:r>
              <w:rPr>
                <w:rFonts w:hint="eastAsia" w:ascii="宋体" w:hAnsi="宋体" w:cs="宋体"/>
                <w:kern w:val="0"/>
                <w:sz w:val="15"/>
                <w:szCs w:val="15"/>
              </w:rPr>
              <w:t>类   别</w:t>
            </w:r>
          </w:p>
        </w:tc>
        <w:tc>
          <w:tcPr>
            <w:tcW w:w="94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 w:val="15"/>
                <w:szCs w:val="15"/>
              </w:rPr>
            </w:pPr>
            <w:r>
              <w:rPr>
                <w:rFonts w:hint="eastAsia" w:ascii="宋体" w:hAnsi="宋体" w:cs="宋体"/>
                <w:kern w:val="0"/>
                <w:sz w:val="15"/>
                <w:szCs w:val="15"/>
              </w:rPr>
              <w:t>期初面积</w:t>
            </w:r>
          </w:p>
        </w:tc>
        <w:tc>
          <w:tcPr>
            <w:tcW w:w="10176" w:type="dxa"/>
            <w:gridSpan w:val="1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5"/>
                <w:szCs w:val="15"/>
              </w:rPr>
            </w:pPr>
            <w:r>
              <w:rPr>
                <w:rFonts w:hint="eastAsia" w:ascii="宋体" w:hAnsi="宋体" w:cs="宋体"/>
                <w:kern w:val="0"/>
                <w:sz w:val="15"/>
                <w:szCs w:val="15"/>
              </w:rPr>
              <w:t>各类集体土地年度增减变动情况</w:t>
            </w:r>
          </w:p>
        </w:tc>
      </w:tr>
      <w:tr>
        <w:tblPrEx>
          <w:tblLayout w:type="fixed"/>
          <w:tblCellMar>
            <w:top w:w="0" w:type="dxa"/>
            <w:left w:w="108" w:type="dxa"/>
            <w:bottom w:w="0" w:type="dxa"/>
            <w:right w:w="108" w:type="dxa"/>
          </w:tblCellMar>
        </w:tblPrEx>
        <w:trPr>
          <w:cantSplit/>
          <w:trHeight w:val="210" w:hRule="exact"/>
        </w:trPr>
        <w:tc>
          <w:tcPr>
            <w:tcW w:w="818"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kern w:val="0"/>
                <w:sz w:val="15"/>
                <w:szCs w:val="15"/>
              </w:rPr>
            </w:pPr>
          </w:p>
        </w:tc>
        <w:tc>
          <w:tcPr>
            <w:tcW w:w="1829"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kern w:val="0"/>
                <w:sz w:val="15"/>
                <w:szCs w:val="15"/>
              </w:rPr>
            </w:pPr>
          </w:p>
        </w:tc>
        <w:tc>
          <w:tcPr>
            <w:tcW w:w="940"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kern w:val="0"/>
                <w:sz w:val="15"/>
                <w:szCs w:val="15"/>
              </w:rPr>
            </w:pPr>
          </w:p>
        </w:tc>
        <w:tc>
          <w:tcPr>
            <w:tcW w:w="84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spacing w:val="-10"/>
                <w:kern w:val="0"/>
                <w:sz w:val="15"/>
                <w:szCs w:val="15"/>
              </w:rPr>
            </w:pPr>
            <w:r>
              <w:rPr>
                <w:rFonts w:hint="eastAsia" w:ascii="宋体" w:hAnsi="宋体" w:cs="宋体"/>
                <w:spacing w:val="-10"/>
                <w:kern w:val="0"/>
                <w:sz w:val="15"/>
                <w:szCs w:val="15"/>
              </w:rPr>
              <w:t>变动年份</w:t>
            </w: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spacing w:val="-10"/>
                <w:kern w:val="0"/>
                <w:sz w:val="15"/>
                <w:szCs w:val="15"/>
              </w:rPr>
            </w:pPr>
            <w:r>
              <w:rPr>
                <w:rFonts w:hint="eastAsia" w:ascii="宋体" w:hAnsi="宋体" w:cs="宋体"/>
                <w:spacing w:val="-10"/>
                <w:kern w:val="0"/>
                <w:sz w:val="15"/>
                <w:szCs w:val="15"/>
              </w:rPr>
              <w:t>期末面积</w:t>
            </w: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spacing w:val="-10"/>
                <w:kern w:val="0"/>
                <w:sz w:val="15"/>
                <w:szCs w:val="15"/>
              </w:rPr>
            </w:pPr>
            <w:r>
              <w:rPr>
                <w:rFonts w:hint="eastAsia" w:ascii="宋体" w:hAnsi="宋体" w:cs="宋体"/>
                <w:spacing w:val="-10"/>
                <w:kern w:val="0"/>
                <w:sz w:val="15"/>
                <w:szCs w:val="15"/>
              </w:rPr>
              <w:t>变动年份</w:t>
            </w: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spacing w:val="-10"/>
                <w:kern w:val="0"/>
                <w:sz w:val="15"/>
                <w:szCs w:val="15"/>
              </w:rPr>
            </w:pPr>
            <w:r>
              <w:rPr>
                <w:rFonts w:hint="eastAsia" w:ascii="宋体" w:hAnsi="宋体" w:cs="宋体"/>
                <w:spacing w:val="-10"/>
                <w:kern w:val="0"/>
                <w:sz w:val="15"/>
                <w:szCs w:val="15"/>
              </w:rPr>
              <w:t>期末面积</w:t>
            </w:r>
          </w:p>
        </w:tc>
        <w:tc>
          <w:tcPr>
            <w:tcW w:w="84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spacing w:val="-10"/>
                <w:kern w:val="0"/>
                <w:sz w:val="15"/>
                <w:szCs w:val="15"/>
              </w:rPr>
            </w:pPr>
            <w:r>
              <w:rPr>
                <w:rFonts w:hint="eastAsia" w:ascii="宋体" w:hAnsi="宋体" w:cs="宋体"/>
                <w:spacing w:val="-10"/>
                <w:kern w:val="0"/>
                <w:sz w:val="15"/>
                <w:szCs w:val="15"/>
              </w:rPr>
              <w:t>变动年份</w:t>
            </w: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spacing w:val="-10"/>
                <w:kern w:val="0"/>
                <w:sz w:val="15"/>
                <w:szCs w:val="15"/>
              </w:rPr>
            </w:pPr>
            <w:r>
              <w:rPr>
                <w:rFonts w:hint="eastAsia" w:ascii="宋体" w:hAnsi="宋体" w:cs="宋体"/>
                <w:spacing w:val="-10"/>
                <w:kern w:val="0"/>
                <w:sz w:val="15"/>
                <w:szCs w:val="15"/>
              </w:rPr>
              <w:t>期末面积</w:t>
            </w: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spacing w:val="-10"/>
                <w:kern w:val="0"/>
                <w:sz w:val="15"/>
                <w:szCs w:val="15"/>
              </w:rPr>
            </w:pPr>
            <w:r>
              <w:rPr>
                <w:rFonts w:hint="eastAsia" w:ascii="宋体" w:hAnsi="宋体" w:cs="宋体"/>
                <w:spacing w:val="-10"/>
                <w:kern w:val="0"/>
                <w:sz w:val="15"/>
                <w:szCs w:val="15"/>
              </w:rPr>
              <w:t>变动年份</w:t>
            </w:r>
          </w:p>
        </w:tc>
        <w:tc>
          <w:tcPr>
            <w:tcW w:w="847"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spacing w:val="-10"/>
                <w:kern w:val="0"/>
                <w:sz w:val="15"/>
                <w:szCs w:val="15"/>
              </w:rPr>
            </w:pPr>
            <w:r>
              <w:rPr>
                <w:rFonts w:hint="eastAsia" w:ascii="宋体" w:hAnsi="宋体" w:cs="宋体"/>
                <w:spacing w:val="-10"/>
                <w:kern w:val="0"/>
                <w:sz w:val="15"/>
                <w:szCs w:val="15"/>
              </w:rPr>
              <w:t>期末面积</w:t>
            </w: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spacing w:val="-10"/>
                <w:kern w:val="0"/>
                <w:sz w:val="15"/>
                <w:szCs w:val="15"/>
              </w:rPr>
            </w:pPr>
            <w:r>
              <w:rPr>
                <w:rFonts w:hint="eastAsia" w:ascii="宋体" w:hAnsi="宋体" w:cs="宋体"/>
                <w:spacing w:val="-10"/>
                <w:kern w:val="0"/>
                <w:sz w:val="15"/>
                <w:szCs w:val="15"/>
              </w:rPr>
              <w:t>变动年份</w:t>
            </w: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spacing w:val="-10"/>
                <w:kern w:val="0"/>
                <w:sz w:val="15"/>
                <w:szCs w:val="15"/>
              </w:rPr>
            </w:pPr>
            <w:r>
              <w:rPr>
                <w:rFonts w:hint="eastAsia" w:ascii="宋体" w:hAnsi="宋体" w:cs="宋体"/>
                <w:spacing w:val="-10"/>
                <w:kern w:val="0"/>
                <w:sz w:val="15"/>
                <w:szCs w:val="15"/>
              </w:rPr>
              <w:t>期末面积</w:t>
            </w:r>
          </w:p>
        </w:tc>
        <w:tc>
          <w:tcPr>
            <w:tcW w:w="847"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spacing w:val="-10"/>
                <w:kern w:val="0"/>
                <w:sz w:val="15"/>
                <w:szCs w:val="15"/>
              </w:rPr>
            </w:pPr>
            <w:r>
              <w:rPr>
                <w:rFonts w:hint="eastAsia" w:ascii="宋体" w:hAnsi="宋体" w:cs="宋体"/>
                <w:spacing w:val="-10"/>
                <w:kern w:val="0"/>
                <w:sz w:val="15"/>
                <w:szCs w:val="15"/>
              </w:rPr>
              <w:t>变动年份</w:t>
            </w: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spacing w:val="-10"/>
                <w:kern w:val="0"/>
                <w:sz w:val="15"/>
                <w:szCs w:val="15"/>
              </w:rPr>
            </w:pPr>
            <w:r>
              <w:rPr>
                <w:rFonts w:hint="eastAsia" w:ascii="宋体" w:hAnsi="宋体" w:cs="宋体"/>
                <w:spacing w:val="-10"/>
                <w:kern w:val="0"/>
                <w:sz w:val="15"/>
                <w:szCs w:val="15"/>
              </w:rPr>
              <w:t>期末面积</w:t>
            </w:r>
          </w:p>
        </w:tc>
      </w:tr>
      <w:tr>
        <w:tblPrEx>
          <w:tblLayout w:type="fixed"/>
          <w:tblCellMar>
            <w:top w:w="0" w:type="dxa"/>
            <w:left w:w="108" w:type="dxa"/>
            <w:bottom w:w="0" w:type="dxa"/>
            <w:right w:w="108" w:type="dxa"/>
          </w:tblCellMar>
        </w:tblPrEx>
        <w:trPr>
          <w:cantSplit/>
          <w:trHeight w:val="210" w:hRule="exact"/>
        </w:trPr>
        <w:tc>
          <w:tcPr>
            <w:tcW w:w="81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5"/>
                <w:szCs w:val="15"/>
              </w:rPr>
            </w:pPr>
            <w:r>
              <w:rPr>
                <w:rFonts w:hint="eastAsia" w:ascii="宋体" w:hAnsi="宋体" w:cs="宋体"/>
                <w:kern w:val="0"/>
                <w:sz w:val="15"/>
                <w:szCs w:val="15"/>
              </w:rPr>
              <w:t>农</w:t>
            </w:r>
          </w:p>
          <w:p>
            <w:pPr>
              <w:widowControl/>
              <w:jc w:val="center"/>
              <w:rPr>
                <w:rFonts w:hint="eastAsia" w:ascii="宋体" w:hAnsi="宋体" w:cs="宋体"/>
                <w:kern w:val="0"/>
                <w:sz w:val="15"/>
                <w:szCs w:val="15"/>
              </w:rPr>
            </w:pPr>
            <w:r>
              <w:rPr>
                <w:rFonts w:hint="eastAsia" w:ascii="宋体" w:hAnsi="宋体" w:cs="宋体"/>
                <w:kern w:val="0"/>
                <w:sz w:val="15"/>
                <w:szCs w:val="15"/>
              </w:rPr>
              <w:t>用</w:t>
            </w:r>
          </w:p>
          <w:p>
            <w:pPr>
              <w:widowControl/>
              <w:jc w:val="center"/>
              <w:rPr>
                <w:rFonts w:ascii="宋体" w:hAnsi="宋体" w:cs="宋体"/>
                <w:kern w:val="0"/>
                <w:sz w:val="15"/>
                <w:szCs w:val="15"/>
              </w:rPr>
            </w:pPr>
            <w:r>
              <w:rPr>
                <w:rFonts w:hint="eastAsia" w:ascii="宋体" w:hAnsi="宋体" w:cs="宋体"/>
                <w:kern w:val="0"/>
                <w:sz w:val="15"/>
                <w:szCs w:val="15"/>
              </w:rPr>
              <w:t>地</w:t>
            </w:r>
          </w:p>
        </w:tc>
        <w:tc>
          <w:tcPr>
            <w:tcW w:w="1829"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5"/>
                <w:szCs w:val="15"/>
              </w:rPr>
            </w:pPr>
            <w:r>
              <w:rPr>
                <w:rFonts w:hint="eastAsia" w:ascii="宋体" w:hAnsi="宋体" w:cs="宋体"/>
                <w:kern w:val="0"/>
                <w:sz w:val="15"/>
                <w:szCs w:val="15"/>
              </w:rPr>
              <w:t>小   计</w:t>
            </w:r>
          </w:p>
        </w:tc>
        <w:tc>
          <w:tcPr>
            <w:tcW w:w="940"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rPr>
                <w:rFonts w:hint="eastAsia" w:ascii="宋体" w:hAnsi="宋体" w:cs="宋体"/>
                <w:kern w:val="0"/>
                <w:sz w:val="15"/>
                <w:szCs w:val="15"/>
              </w:rPr>
            </w:pPr>
          </w:p>
        </w:tc>
        <w:tc>
          <w:tcPr>
            <w:tcW w:w="182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r>
              <w:rPr>
                <w:rFonts w:hint="eastAsia" w:ascii="宋体" w:hAnsi="宋体" w:cs="宋体"/>
                <w:kern w:val="0"/>
                <w:sz w:val="15"/>
                <w:szCs w:val="15"/>
              </w:rPr>
              <w:t>耕地</w:t>
            </w:r>
          </w:p>
        </w:tc>
        <w:tc>
          <w:tcPr>
            <w:tcW w:w="940"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5"/>
                <w:szCs w:val="15"/>
              </w:rPr>
            </w:pPr>
          </w:p>
        </w:tc>
        <w:tc>
          <w:tcPr>
            <w:tcW w:w="182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r>
              <w:rPr>
                <w:rFonts w:hint="eastAsia" w:ascii="宋体" w:hAnsi="宋体" w:cs="宋体"/>
                <w:kern w:val="0"/>
                <w:sz w:val="15"/>
                <w:szCs w:val="15"/>
              </w:rPr>
              <w:t>其中：1、</w:t>
            </w:r>
            <w:r>
              <w:rPr>
                <w:rFonts w:hint="eastAsia" w:ascii="宋体" w:hAnsi="宋体" w:cs="宋体"/>
                <w:kern w:val="0"/>
                <w:sz w:val="15"/>
                <w:szCs w:val="15"/>
                <w:lang w:eastAsia="zh-CN"/>
              </w:rPr>
              <w:t>家庭承包</w:t>
            </w:r>
          </w:p>
        </w:tc>
        <w:tc>
          <w:tcPr>
            <w:tcW w:w="9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5"/>
                <w:szCs w:val="15"/>
              </w:rPr>
            </w:pPr>
          </w:p>
        </w:tc>
        <w:tc>
          <w:tcPr>
            <w:tcW w:w="182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xml:space="preserve">   </w:t>
            </w:r>
            <w:r>
              <w:rPr>
                <w:rFonts w:hint="eastAsia" w:ascii="宋体" w:hAnsi="宋体" w:cs="宋体"/>
                <w:kern w:val="0"/>
                <w:sz w:val="15"/>
                <w:szCs w:val="15"/>
                <w:lang w:val="en-US" w:eastAsia="zh-CN"/>
              </w:rPr>
              <w:t xml:space="preserve">   </w:t>
            </w:r>
            <w:r>
              <w:rPr>
                <w:rFonts w:hint="eastAsia" w:ascii="宋体" w:hAnsi="宋体" w:cs="宋体"/>
                <w:kern w:val="0"/>
                <w:sz w:val="15"/>
                <w:szCs w:val="15"/>
              </w:rPr>
              <w:t>2、</w:t>
            </w:r>
            <w:r>
              <w:rPr>
                <w:rFonts w:hint="eastAsia" w:ascii="宋体" w:hAnsi="宋体" w:cs="宋体"/>
                <w:kern w:val="0"/>
                <w:sz w:val="15"/>
                <w:szCs w:val="15"/>
                <w:lang w:eastAsia="zh-CN"/>
              </w:rPr>
              <w:t>统一管理</w:t>
            </w:r>
          </w:p>
        </w:tc>
        <w:tc>
          <w:tcPr>
            <w:tcW w:w="9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5"/>
                <w:szCs w:val="15"/>
              </w:rPr>
            </w:pPr>
          </w:p>
        </w:tc>
        <w:tc>
          <w:tcPr>
            <w:tcW w:w="182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林地</w:t>
            </w:r>
          </w:p>
        </w:tc>
        <w:tc>
          <w:tcPr>
            <w:tcW w:w="940"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5"/>
                <w:szCs w:val="15"/>
              </w:rPr>
            </w:pPr>
          </w:p>
        </w:tc>
        <w:tc>
          <w:tcPr>
            <w:tcW w:w="1829" w:type="dxa"/>
            <w:tcBorders>
              <w:top w:val="nil"/>
              <w:left w:val="nil"/>
              <w:bottom w:val="single" w:color="auto" w:sz="4" w:space="0"/>
              <w:right w:val="single" w:color="auto" w:sz="4" w:space="0"/>
            </w:tcBorders>
            <w:vAlign w:val="center"/>
          </w:tcPr>
          <w:p>
            <w:pPr>
              <w:jc w:val="left"/>
              <w:rPr>
                <w:rFonts w:ascii="宋体" w:hAnsi="宋体" w:cs="宋体"/>
                <w:kern w:val="0"/>
                <w:sz w:val="15"/>
                <w:szCs w:val="15"/>
              </w:rPr>
            </w:pPr>
            <w:r>
              <w:rPr>
                <w:rFonts w:hint="eastAsia" w:ascii="宋体" w:hAnsi="宋体" w:cs="宋体"/>
                <w:kern w:val="0"/>
                <w:sz w:val="15"/>
                <w:szCs w:val="15"/>
              </w:rPr>
              <w:t>其中：1、</w:t>
            </w:r>
            <w:r>
              <w:rPr>
                <w:rFonts w:hint="eastAsia" w:ascii="宋体" w:hAnsi="宋体" w:cs="宋体"/>
                <w:kern w:val="0"/>
                <w:sz w:val="15"/>
                <w:szCs w:val="15"/>
                <w:lang w:eastAsia="zh-CN"/>
              </w:rPr>
              <w:t>家庭承包</w:t>
            </w:r>
          </w:p>
        </w:tc>
        <w:tc>
          <w:tcPr>
            <w:tcW w:w="940"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5"/>
                <w:szCs w:val="15"/>
              </w:rPr>
            </w:pPr>
          </w:p>
        </w:tc>
        <w:tc>
          <w:tcPr>
            <w:tcW w:w="182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xml:space="preserve">   </w:t>
            </w:r>
            <w:r>
              <w:rPr>
                <w:rFonts w:hint="eastAsia" w:ascii="宋体" w:hAnsi="宋体" w:cs="宋体"/>
                <w:kern w:val="0"/>
                <w:sz w:val="15"/>
                <w:szCs w:val="15"/>
                <w:lang w:val="en-US" w:eastAsia="zh-CN"/>
              </w:rPr>
              <w:t xml:space="preserve">   </w:t>
            </w:r>
            <w:r>
              <w:rPr>
                <w:rFonts w:hint="eastAsia" w:ascii="宋体" w:hAnsi="宋体" w:cs="宋体"/>
                <w:kern w:val="0"/>
                <w:sz w:val="15"/>
                <w:szCs w:val="15"/>
              </w:rPr>
              <w:t>2、</w:t>
            </w:r>
            <w:r>
              <w:rPr>
                <w:rFonts w:hint="eastAsia" w:ascii="宋体" w:hAnsi="宋体" w:cs="宋体"/>
                <w:kern w:val="0"/>
                <w:sz w:val="15"/>
                <w:szCs w:val="15"/>
                <w:lang w:eastAsia="zh-CN"/>
              </w:rPr>
              <w:t>统一管理</w:t>
            </w:r>
          </w:p>
        </w:tc>
        <w:tc>
          <w:tcPr>
            <w:tcW w:w="940"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5"/>
                <w:szCs w:val="15"/>
              </w:rPr>
            </w:pPr>
          </w:p>
        </w:tc>
        <w:tc>
          <w:tcPr>
            <w:tcW w:w="182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园地</w:t>
            </w:r>
          </w:p>
        </w:tc>
        <w:tc>
          <w:tcPr>
            <w:tcW w:w="940"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5"/>
                <w:szCs w:val="15"/>
              </w:rPr>
            </w:pPr>
          </w:p>
        </w:tc>
        <w:tc>
          <w:tcPr>
            <w:tcW w:w="1829"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5"/>
                <w:szCs w:val="15"/>
              </w:rPr>
            </w:pPr>
            <w:r>
              <w:rPr>
                <w:rFonts w:hint="eastAsia" w:ascii="宋体" w:hAnsi="宋体" w:cs="宋体"/>
                <w:kern w:val="0"/>
                <w:sz w:val="15"/>
                <w:szCs w:val="15"/>
              </w:rPr>
              <w:t>其中：1、</w:t>
            </w:r>
            <w:r>
              <w:rPr>
                <w:rFonts w:hint="eastAsia" w:ascii="宋体" w:hAnsi="宋体" w:cs="宋体"/>
                <w:kern w:val="0"/>
                <w:sz w:val="15"/>
                <w:szCs w:val="15"/>
                <w:lang w:eastAsia="zh-CN"/>
              </w:rPr>
              <w:t>家庭承包</w:t>
            </w:r>
          </w:p>
        </w:tc>
        <w:tc>
          <w:tcPr>
            <w:tcW w:w="940"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7"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7"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5"/>
                <w:szCs w:val="15"/>
              </w:rPr>
            </w:pPr>
          </w:p>
        </w:tc>
        <w:tc>
          <w:tcPr>
            <w:tcW w:w="182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xml:space="preserve">   </w:t>
            </w:r>
            <w:r>
              <w:rPr>
                <w:rFonts w:hint="eastAsia" w:ascii="宋体" w:hAnsi="宋体" w:cs="宋体"/>
                <w:kern w:val="0"/>
                <w:sz w:val="15"/>
                <w:szCs w:val="15"/>
                <w:lang w:val="en-US" w:eastAsia="zh-CN"/>
              </w:rPr>
              <w:t xml:space="preserve">   </w:t>
            </w:r>
            <w:r>
              <w:rPr>
                <w:rFonts w:hint="eastAsia" w:ascii="宋体" w:hAnsi="宋体" w:cs="宋体"/>
                <w:kern w:val="0"/>
                <w:sz w:val="15"/>
                <w:szCs w:val="15"/>
              </w:rPr>
              <w:t>2、</w:t>
            </w:r>
            <w:r>
              <w:rPr>
                <w:rFonts w:hint="eastAsia" w:ascii="宋体" w:hAnsi="宋体" w:cs="宋体"/>
                <w:kern w:val="0"/>
                <w:sz w:val="15"/>
                <w:szCs w:val="15"/>
                <w:lang w:eastAsia="zh-CN"/>
              </w:rPr>
              <w:t>统一管理</w:t>
            </w:r>
          </w:p>
        </w:tc>
        <w:tc>
          <w:tcPr>
            <w:tcW w:w="940"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7"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7"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5"/>
                <w:szCs w:val="15"/>
              </w:rPr>
            </w:pPr>
          </w:p>
        </w:tc>
        <w:tc>
          <w:tcPr>
            <w:tcW w:w="182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牧草地</w:t>
            </w:r>
          </w:p>
        </w:tc>
        <w:tc>
          <w:tcPr>
            <w:tcW w:w="9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5"/>
                <w:szCs w:val="15"/>
              </w:rPr>
            </w:pPr>
          </w:p>
        </w:tc>
        <w:tc>
          <w:tcPr>
            <w:tcW w:w="1829"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5"/>
                <w:szCs w:val="15"/>
              </w:rPr>
            </w:pPr>
            <w:r>
              <w:rPr>
                <w:rFonts w:hint="eastAsia" w:ascii="宋体" w:hAnsi="宋体" w:cs="宋体"/>
                <w:kern w:val="0"/>
                <w:sz w:val="15"/>
                <w:szCs w:val="15"/>
              </w:rPr>
              <w:t>其中：1、</w:t>
            </w:r>
            <w:r>
              <w:rPr>
                <w:rFonts w:hint="eastAsia" w:ascii="宋体" w:hAnsi="宋体" w:cs="宋体"/>
                <w:kern w:val="0"/>
                <w:sz w:val="15"/>
                <w:szCs w:val="15"/>
                <w:lang w:eastAsia="zh-CN"/>
              </w:rPr>
              <w:t>家庭承包</w:t>
            </w:r>
          </w:p>
        </w:tc>
        <w:tc>
          <w:tcPr>
            <w:tcW w:w="940"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7"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7"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5"/>
                <w:szCs w:val="15"/>
              </w:rPr>
            </w:pPr>
          </w:p>
        </w:tc>
        <w:tc>
          <w:tcPr>
            <w:tcW w:w="182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xml:space="preserve">   </w:t>
            </w:r>
            <w:r>
              <w:rPr>
                <w:rFonts w:hint="eastAsia" w:ascii="宋体" w:hAnsi="宋体" w:cs="宋体"/>
                <w:kern w:val="0"/>
                <w:sz w:val="15"/>
                <w:szCs w:val="15"/>
                <w:lang w:val="en-US" w:eastAsia="zh-CN"/>
              </w:rPr>
              <w:t xml:space="preserve">   </w:t>
            </w:r>
            <w:r>
              <w:rPr>
                <w:rFonts w:hint="eastAsia" w:ascii="宋体" w:hAnsi="宋体" w:cs="宋体"/>
                <w:kern w:val="0"/>
                <w:sz w:val="15"/>
                <w:szCs w:val="15"/>
              </w:rPr>
              <w:t>2、</w:t>
            </w:r>
            <w:r>
              <w:rPr>
                <w:rFonts w:hint="eastAsia" w:ascii="宋体" w:hAnsi="宋体" w:cs="宋体"/>
                <w:kern w:val="0"/>
                <w:sz w:val="15"/>
                <w:szCs w:val="15"/>
                <w:lang w:eastAsia="zh-CN"/>
              </w:rPr>
              <w:t>统一管理</w:t>
            </w:r>
          </w:p>
        </w:tc>
        <w:tc>
          <w:tcPr>
            <w:tcW w:w="940"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7"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7"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5"/>
                <w:szCs w:val="15"/>
              </w:rPr>
            </w:pPr>
          </w:p>
        </w:tc>
        <w:tc>
          <w:tcPr>
            <w:tcW w:w="182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水面</w:t>
            </w:r>
          </w:p>
        </w:tc>
        <w:tc>
          <w:tcPr>
            <w:tcW w:w="940"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5"/>
                <w:szCs w:val="15"/>
              </w:rPr>
            </w:pPr>
          </w:p>
        </w:tc>
        <w:tc>
          <w:tcPr>
            <w:tcW w:w="1829"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5"/>
                <w:szCs w:val="15"/>
              </w:rPr>
            </w:pPr>
            <w:r>
              <w:rPr>
                <w:rFonts w:hint="eastAsia" w:ascii="宋体" w:hAnsi="宋体" w:cs="宋体"/>
                <w:kern w:val="0"/>
                <w:sz w:val="15"/>
                <w:szCs w:val="15"/>
              </w:rPr>
              <w:t>其中：1、</w:t>
            </w:r>
            <w:r>
              <w:rPr>
                <w:rFonts w:hint="eastAsia" w:ascii="宋体" w:hAnsi="宋体" w:cs="宋体"/>
                <w:kern w:val="0"/>
                <w:sz w:val="15"/>
                <w:szCs w:val="15"/>
                <w:lang w:eastAsia="zh-CN"/>
              </w:rPr>
              <w:t>家庭承包</w:t>
            </w:r>
          </w:p>
        </w:tc>
        <w:tc>
          <w:tcPr>
            <w:tcW w:w="940"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7"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7"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5"/>
                <w:szCs w:val="15"/>
              </w:rPr>
            </w:pPr>
          </w:p>
        </w:tc>
        <w:tc>
          <w:tcPr>
            <w:tcW w:w="182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xml:space="preserve">   </w:t>
            </w:r>
            <w:r>
              <w:rPr>
                <w:rFonts w:hint="eastAsia" w:ascii="宋体" w:hAnsi="宋体" w:cs="宋体"/>
                <w:kern w:val="0"/>
                <w:sz w:val="15"/>
                <w:szCs w:val="15"/>
                <w:lang w:val="en-US" w:eastAsia="zh-CN"/>
              </w:rPr>
              <w:t xml:space="preserve">   </w:t>
            </w:r>
            <w:r>
              <w:rPr>
                <w:rFonts w:hint="eastAsia" w:ascii="宋体" w:hAnsi="宋体" w:cs="宋体"/>
                <w:kern w:val="0"/>
                <w:sz w:val="15"/>
                <w:szCs w:val="15"/>
              </w:rPr>
              <w:t>2、</w:t>
            </w:r>
            <w:r>
              <w:rPr>
                <w:rFonts w:hint="eastAsia" w:ascii="宋体" w:hAnsi="宋体" w:cs="宋体"/>
                <w:kern w:val="0"/>
                <w:sz w:val="15"/>
                <w:szCs w:val="15"/>
                <w:lang w:eastAsia="zh-CN"/>
              </w:rPr>
              <w:t>统一管理</w:t>
            </w:r>
          </w:p>
        </w:tc>
        <w:tc>
          <w:tcPr>
            <w:tcW w:w="940"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7"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7"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5"/>
                <w:szCs w:val="15"/>
              </w:rPr>
            </w:pPr>
          </w:p>
        </w:tc>
        <w:tc>
          <w:tcPr>
            <w:tcW w:w="182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其它</w:t>
            </w:r>
          </w:p>
        </w:tc>
        <w:tc>
          <w:tcPr>
            <w:tcW w:w="940"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5"/>
                <w:szCs w:val="15"/>
              </w:rPr>
            </w:pPr>
            <w:r>
              <w:rPr>
                <w:rFonts w:hint="eastAsia" w:ascii="宋体" w:hAnsi="宋体" w:cs="宋体"/>
                <w:kern w:val="0"/>
                <w:sz w:val="15"/>
                <w:szCs w:val="15"/>
              </w:rPr>
              <w:t>建设</w:t>
            </w:r>
          </w:p>
          <w:p>
            <w:pPr>
              <w:widowControl/>
              <w:jc w:val="center"/>
              <w:rPr>
                <w:rFonts w:ascii="宋体" w:hAnsi="宋体" w:cs="宋体"/>
                <w:kern w:val="0"/>
                <w:sz w:val="15"/>
                <w:szCs w:val="15"/>
              </w:rPr>
            </w:pPr>
            <w:r>
              <w:rPr>
                <w:rFonts w:hint="eastAsia" w:ascii="宋体" w:hAnsi="宋体" w:cs="宋体"/>
                <w:kern w:val="0"/>
                <w:sz w:val="15"/>
                <w:szCs w:val="15"/>
              </w:rPr>
              <w:t>用地</w:t>
            </w:r>
          </w:p>
        </w:tc>
        <w:tc>
          <w:tcPr>
            <w:tcW w:w="1829"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5"/>
                <w:szCs w:val="15"/>
              </w:rPr>
            </w:pPr>
            <w:r>
              <w:rPr>
                <w:rFonts w:hint="eastAsia" w:ascii="宋体" w:hAnsi="宋体" w:cs="宋体"/>
                <w:kern w:val="0"/>
                <w:sz w:val="15"/>
                <w:szCs w:val="15"/>
              </w:rPr>
              <w:t>小      计</w:t>
            </w:r>
          </w:p>
        </w:tc>
        <w:tc>
          <w:tcPr>
            <w:tcW w:w="940"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5"/>
                <w:szCs w:val="15"/>
              </w:rPr>
            </w:pPr>
          </w:p>
        </w:tc>
        <w:tc>
          <w:tcPr>
            <w:tcW w:w="182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r>
              <w:rPr>
                <w:rFonts w:hint="eastAsia" w:ascii="宋体" w:hAnsi="宋体" w:cs="宋体"/>
                <w:kern w:val="0"/>
                <w:sz w:val="15"/>
                <w:szCs w:val="15"/>
              </w:rPr>
              <w:t>村办公用地</w:t>
            </w:r>
          </w:p>
        </w:tc>
        <w:tc>
          <w:tcPr>
            <w:tcW w:w="940"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5"/>
                <w:szCs w:val="15"/>
              </w:rPr>
            </w:pPr>
          </w:p>
        </w:tc>
        <w:tc>
          <w:tcPr>
            <w:tcW w:w="182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居民宅基地</w:t>
            </w:r>
          </w:p>
        </w:tc>
        <w:tc>
          <w:tcPr>
            <w:tcW w:w="940"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5"/>
                <w:szCs w:val="15"/>
              </w:rPr>
            </w:pPr>
          </w:p>
        </w:tc>
        <w:tc>
          <w:tcPr>
            <w:tcW w:w="182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公益用地</w:t>
            </w:r>
          </w:p>
        </w:tc>
        <w:tc>
          <w:tcPr>
            <w:tcW w:w="940"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5"/>
                <w:szCs w:val="15"/>
              </w:rPr>
            </w:pPr>
          </w:p>
        </w:tc>
        <w:tc>
          <w:tcPr>
            <w:tcW w:w="182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矿山用地</w:t>
            </w:r>
          </w:p>
        </w:tc>
        <w:tc>
          <w:tcPr>
            <w:tcW w:w="940"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5"/>
                <w:szCs w:val="15"/>
              </w:rPr>
            </w:pPr>
          </w:p>
        </w:tc>
        <w:tc>
          <w:tcPr>
            <w:tcW w:w="182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乡村交通用地</w:t>
            </w:r>
          </w:p>
        </w:tc>
        <w:tc>
          <w:tcPr>
            <w:tcW w:w="940"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5"/>
                <w:szCs w:val="15"/>
              </w:rPr>
            </w:pPr>
          </w:p>
        </w:tc>
        <w:tc>
          <w:tcPr>
            <w:tcW w:w="182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5"/>
                <w:szCs w:val="15"/>
                <w:lang w:eastAsia="zh-CN"/>
              </w:rPr>
            </w:pPr>
            <w:r>
              <w:rPr>
                <w:rFonts w:hint="eastAsia" w:ascii="宋体" w:hAnsi="宋体" w:cs="宋体"/>
                <w:kern w:val="0"/>
                <w:sz w:val="15"/>
                <w:szCs w:val="15"/>
                <w:lang w:eastAsia="zh-CN"/>
              </w:rPr>
              <w:t>企业占地</w:t>
            </w:r>
          </w:p>
        </w:tc>
        <w:tc>
          <w:tcPr>
            <w:tcW w:w="94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5"/>
                <w:szCs w:val="15"/>
              </w:rPr>
            </w:pPr>
          </w:p>
        </w:tc>
        <w:tc>
          <w:tcPr>
            <w:tcW w:w="849"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5"/>
                <w:szCs w:val="15"/>
              </w:rPr>
            </w:pPr>
          </w:p>
        </w:tc>
        <w:tc>
          <w:tcPr>
            <w:tcW w:w="182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其它面积</w:t>
            </w:r>
          </w:p>
        </w:tc>
        <w:tc>
          <w:tcPr>
            <w:tcW w:w="940"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5"/>
                <w:szCs w:val="15"/>
              </w:rPr>
            </w:pPr>
            <w:r>
              <w:rPr>
                <w:rFonts w:hint="eastAsia" w:ascii="宋体" w:hAnsi="宋体" w:cs="宋体"/>
                <w:kern w:val="0"/>
                <w:sz w:val="15"/>
                <w:szCs w:val="15"/>
                <w:lang w:eastAsia="zh-CN"/>
              </w:rPr>
              <w:t>其它</w:t>
            </w:r>
            <w:r>
              <w:rPr>
                <w:rFonts w:hint="eastAsia" w:ascii="宋体" w:hAnsi="宋体" w:cs="宋体"/>
                <w:kern w:val="0"/>
                <w:sz w:val="15"/>
                <w:szCs w:val="15"/>
              </w:rPr>
              <w:t>土</w:t>
            </w:r>
          </w:p>
          <w:p>
            <w:pPr>
              <w:widowControl/>
              <w:jc w:val="center"/>
              <w:rPr>
                <w:rFonts w:ascii="宋体" w:hAnsi="宋体" w:cs="宋体"/>
                <w:kern w:val="0"/>
                <w:sz w:val="15"/>
                <w:szCs w:val="15"/>
              </w:rPr>
            </w:pPr>
            <w:r>
              <w:rPr>
                <w:rFonts w:hint="eastAsia" w:ascii="宋体" w:hAnsi="宋体" w:cs="宋体"/>
                <w:kern w:val="0"/>
                <w:sz w:val="15"/>
                <w:szCs w:val="15"/>
              </w:rPr>
              <w:t>地面积</w:t>
            </w:r>
          </w:p>
        </w:tc>
        <w:tc>
          <w:tcPr>
            <w:tcW w:w="1829"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5"/>
                <w:szCs w:val="15"/>
              </w:rPr>
            </w:pPr>
            <w:r>
              <w:rPr>
                <w:rFonts w:hint="eastAsia" w:ascii="宋体" w:hAnsi="宋体" w:cs="宋体"/>
                <w:kern w:val="0"/>
                <w:sz w:val="15"/>
                <w:szCs w:val="15"/>
              </w:rPr>
              <w:t>小          计</w:t>
            </w:r>
          </w:p>
        </w:tc>
        <w:tc>
          <w:tcPr>
            <w:tcW w:w="940"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rPr>
                <w:rFonts w:hint="eastAsia" w:ascii="宋体" w:hAnsi="宋体" w:cs="宋体"/>
                <w:kern w:val="0"/>
                <w:sz w:val="15"/>
                <w:szCs w:val="15"/>
              </w:rPr>
            </w:pPr>
          </w:p>
        </w:tc>
        <w:tc>
          <w:tcPr>
            <w:tcW w:w="182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荒山</w:t>
            </w:r>
          </w:p>
        </w:tc>
        <w:tc>
          <w:tcPr>
            <w:tcW w:w="940"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5"/>
                <w:szCs w:val="15"/>
              </w:rPr>
            </w:pPr>
          </w:p>
        </w:tc>
        <w:tc>
          <w:tcPr>
            <w:tcW w:w="182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荒坡</w:t>
            </w:r>
          </w:p>
        </w:tc>
        <w:tc>
          <w:tcPr>
            <w:tcW w:w="940"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5"/>
                <w:szCs w:val="15"/>
              </w:rPr>
            </w:pPr>
          </w:p>
        </w:tc>
        <w:tc>
          <w:tcPr>
            <w:tcW w:w="182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荒滩</w:t>
            </w:r>
          </w:p>
        </w:tc>
        <w:tc>
          <w:tcPr>
            <w:tcW w:w="940"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5"/>
                <w:szCs w:val="15"/>
              </w:rPr>
            </w:pPr>
          </w:p>
        </w:tc>
        <w:tc>
          <w:tcPr>
            <w:tcW w:w="182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荒沟</w:t>
            </w:r>
          </w:p>
        </w:tc>
        <w:tc>
          <w:tcPr>
            <w:tcW w:w="940"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5"/>
                <w:szCs w:val="15"/>
              </w:rPr>
            </w:pPr>
          </w:p>
        </w:tc>
        <w:tc>
          <w:tcPr>
            <w:tcW w:w="182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其它</w:t>
            </w:r>
          </w:p>
        </w:tc>
        <w:tc>
          <w:tcPr>
            <w:tcW w:w="940"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9"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r>
              <w:rPr>
                <w:rFonts w:hint="eastAsia" w:ascii="宋体" w:hAnsi="宋体" w:cs="宋体"/>
                <w:kern w:val="0"/>
                <w:sz w:val="15"/>
                <w:szCs w:val="15"/>
              </w:rPr>
              <w:t>　</w:t>
            </w: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7"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c>
          <w:tcPr>
            <w:tcW w:w="848" w:type="dxa"/>
            <w:tcBorders>
              <w:top w:val="nil"/>
              <w:left w:val="nil"/>
              <w:bottom w:val="single" w:color="auto" w:sz="4" w:space="0"/>
              <w:right w:val="single" w:color="auto" w:sz="4" w:space="0"/>
            </w:tcBorders>
            <w:vAlign w:val="center"/>
          </w:tcPr>
          <w:p>
            <w:pPr>
              <w:widowControl/>
              <w:jc w:val="left"/>
              <w:rPr>
                <w:rFonts w:ascii="宋体" w:hAnsi="宋体" w:cs="宋体"/>
                <w:kern w:val="0"/>
                <w:sz w:val="15"/>
                <w:szCs w:val="15"/>
              </w:rPr>
            </w:pPr>
          </w:p>
        </w:tc>
      </w:tr>
      <w:tr>
        <w:tblPrEx>
          <w:tblLayout w:type="fixed"/>
          <w:tblCellMar>
            <w:top w:w="0" w:type="dxa"/>
            <w:left w:w="108" w:type="dxa"/>
            <w:bottom w:w="0" w:type="dxa"/>
            <w:right w:w="108" w:type="dxa"/>
          </w:tblCellMar>
        </w:tblPrEx>
        <w:trPr>
          <w:cantSplit/>
          <w:trHeight w:val="210" w:hRule="exact"/>
        </w:trPr>
        <w:tc>
          <w:tcPr>
            <w:tcW w:w="2647" w:type="dxa"/>
            <w:gridSpan w:val="2"/>
            <w:tcBorders>
              <w:top w:val="single" w:color="auto" w:sz="4" w:space="0"/>
              <w:left w:val="single" w:color="auto" w:sz="4" w:space="0"/>
              <w:bottom w:val="single" w:color="auto" w:sz="4" w:space="0"/>
              <w:right w:val="single" w:color="auto" w:sz="4" w:space="0"/>
            </w:tcBorders>
            <w:vAlign w:val="center"/>
          </w:tcPr>
          <w:p>
            <w:pPr>
              <w:ind w:firstLine="900" w:firstLineChars="600"/>
              <w:jc w:val="left"/>
              <w:rPr>
                <w:rFonts w:hint="eastAsia" w:ascii="宋体" w:hAnsi="宋体" w:cs="宋体"/>
                <w:kern w:val="0"/>
                <w:sz w:val="15"/>
                <w:szCs w:val="15"/>
              </w:rPr>
            </w:pPr>
            <w:r>
              <w:rPr>
                <w:rFonts w:hint="eastAsia" w:ascii="宋体" w:hAnsi="宋体" w:cs="宋体"/>
                <w:kern w:val="0"/>
                <w:sz w:val="15"/>
                <w:szCs w:val="15"/>
              </w:rPr>
              <w:t>合       计</w:t>
            </w:r>
          </w:p>
        </w:tc>
        <w:tc>
          <w:tcPr>
            <w:tcW w:w="940"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9"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7"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7"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c>
          <w:tcPr>
            <w:tcW w:w="848"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kern w:val="0"/>
                <w:sz w:val="15"/>
                <w:szCs w:val="15"/>
              </w:rPr>
            </w:pPr>
          </w:p>
        </w:tc>
      </w:tr>
    </w:tbl>
    <w:p>
      <w:pPr>
        <w:rPr>
          <w:rFonts w:hint="eastAsia"/>
          <w:b w:val="0"/>
          <w:bCs/>
          <w:sz w:val="21"/>
          <w:szCs w:val="21"/>
          <w:lang w:eastAsia="zh-CN"/>
        </w:rPr>
      </w:pPr>
      <w:r>
        <w:rPr>
          <w:rFonts w:hint="eastAsia"/>
          <w:b w:val="0"/>
          <w:bCs/>
          <w:sz w:val="21"/>
          <w:szCs w:val="21"/>
          <w:lang w:eastAsia="zh-CN"/>
        </w:rPr>
        <w:t>注：台账中的家庭承包按《农村土地承包法》中关于“家庭承包”的有关规定执行。统一管理的农用地面积指由村或组集体集中管理的土地面积。</w:t>
      </w:r>
    </w:p>
    <w:p>
      <w:pPr>
        <w:jc w:val="center"/>
        <w:rPr>
          <w:b/>
          <w:sz w:val="36"/>
          <w:szCs w:val="36"/>
        </w:rPr>
      </w:pPr>
      <w:r>
        <w:rPr>
          <w:rFonts w:hint="eastAsia"/>
          <w:b/>
          <w:sz w:val="36"/>
          <w:szCs w:val="36"/>
        </w:rPr>
        <w:t>农村集体统一管理的经营性资源明细台账</w:t>
      </w:r>
    </w:p>
    <w:p>
      <w:pPr>
        <w:ind w:left="-2" w:leftChars="-1" w:firstLine="210" w:firstLineChars="100"/>
        <w:rPr>
          <w:szCs w:val="21"/>
          <w:u w:val="single"/>
        </w:rPr>
      </w:pPr>
      <w:r>
        <w:rPr>
          <w:rFonts w:hint="eastAsia"/>
          <w:szCs w:val="21"/>
        </w:rPr>
        <w:t>权属单位：</w:t>
      </w:r>
      <w:r>
        <w:rPr>
          <w:rFonts w:hint="eastAsia"/>
          <w:szCs w:val="21"/>
          <w:u w:val="single"/>
        </w:rPr>
        <w:t xml:space="preserve">                                           </w:t>
      </w:r>
      <w:r>
        <w:rPr>
          <w:rFonts w:hint="eastAsia"/>
          <w:szCs w:val="21"/>
        </w:rPr>
        <w:t xml:space="preserve">                    地块名称：</w:t>
      </w:r>
      <w:r>
        <w:rPr>
          <w:rFonts w:hint="eastAsia"/>
          <w:szCs w:val="21"/>
          <w:u w:val="single"/>
        </w:rPr>
        <w:t xml:space="preserve">                                    </w:t>
      </w:r>
    </w:p>
    <w:p>
      <w:pPr>
        <w:ind w:left="-2" w:leftChars="-1" w:firstLine="210" w:firstLineChars="100"/>
        <w:rPr>
          <w:szCs w:val="21"/>
        </w:rPr>
      </w:pPr>
      <w:r>
        <w:rPr>
          <w:rFonts w:hint="eastAsia"/>
          <w:szCs w:val="21"/>
        </w:rPr>
        <w:t xml:space="preserve">资源类型：□农用地       其中：□耕地         □林地         □园地           □牧草地      □水面             </w:t>
      </w:r>
      <w:r>
        <w:rPr>
          <w:rFonts w:hint="eastAsia" w:ascii="宋体" w:hAnsi="宋体"/>
          <w:szCs w:val="21"/>
        </w:rPr>
        <w:t>□</w:t>
      </w:r>
      <w:r>
        <w:rPr>
          <w:rFonts w:hint="eastAsia"/>
          <w:szCs w:val="21"/>
        </w:rPr>
        <w:t>其它</w:t>
      </w:r>
    </w:p>
    <w:p>
      <w:pPr>
        <w:ind w:left="-2" w:leftChars="-1" w:firstLine="210" w:firstLineChars="100"/>
        <w:rPr>
          <w:szCs w:val="21"/>
        </w:rPr>
      </w:pPr>
      <w:r>
        <w:rPr>
          <w:rFonts w:hint="eastAsia"/>
          <w:szCs w:val="21"/>
        </w:rPr>
        <w:t>资源类型：□建设用地     其中：□村办公用地   □公益单位用地 □矿山用地       □乡村交通用地</w:t>
      </w:r>
      <w:r>
        <w:rPr>
          <w:rFonts w:hint="eastAsia" w:ascii="宋体" w:hAnsi="宋体"/>
          <w:szCs w:val="21"/>
        </w:rPr>
        <w:t>□</w:t>
      </w:r>
      <w:r>
        <w:rPr>
          <w:rFonts w:hint="eastAsia"/>
          <w:szCs w:val="21"/>
        </w:rPr>
        <w:t>其它</w:t>
      </w:r>
    </w:p>
    <w:p>
      <w:pPr>
        <w:ind w:left="-2" w:leftChars="-1" w:firstLine="210" w:firstLineChars="100"/>
        <w:rPr>
          <w:sz w:val="24"/>
        </w:rPr>
      </w:pPr>
      <w:r>
        <w:rPr>
          <w:rFonts w:hint="eastAsia"/>
          <w:szCs w:val="21"/>
        </w:rPr>
        <w:t xml:space="preserve">资源类型：□其它土地     其中：□荒山         □荒坡         □荒沟           □荒滩        </w:t>
      </w:r>
      <w:r>
        <w:rPr>
          <w:rFonts w:hint="eastAsia" w:ascii="宋体" w:hAnsi="宋体"/>
          <w:szCs w:val="21"/>
        </w:rPr>
        <w:t>□</w:t>
      </w:r>
      <w:r>
        <w:rPr>
          <w:rFonts w:hint="eastAsia"/>
          <w:szCs w:val="21"/>
        </w:rPr>
        <w:t>其它</w:t>
      </w:r>
      <w:r>
        <w:rPr>
          <w:rFonts w:hint="eastAsia"/>
          <w:sz w:val="28"/>
          <w:szCs w:val="28"/>
        </w:rPr>
        <w:t xml:space="preserve">           </w:t>
      </w:r>
      <w:r>
        <w:rPr>
          <w:rFonts w:hint="eastAsia"/>
          <w:sz w:val="24"/>
        </w:rPr>
        <w:t>单位</w:t>
      </w:r>
      <w:r>
        <w:rPr>
          <w:rFonts w:hint="eastAsia"/>
          <w:spacing w:val="-14"/>
          <w:szCs w:val="21"/>
        </w:rPr>
        <w:t>：</w:t>
      </w:r>
      <w:r>
        <w:rPr>
          <w:rFonts w:hint="eastAsia"/>
          <w:sz w:val="24"/>
        </w:rPr>
        <w:t>亩、元</w:t>
      </w:r>
    </w:p>
    <w:tbl>
      <w:tblPr>
        <w:tblStyle w:val="9"/>
        <w:tblpPr w:leftFromText="180" w:rightFromText="180" w:vertAnchor="text" w:horzAnchor="margin" w:tblpXSpec="center" w:tblpY="50"/>
        <w:tblOverlap w:val="never"/>
        <w:tblW w:w="14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540"/>
        <w:gridCol w:w="2171"/>
        <w:gridCol w:w="828"/>
        <w:gridCol w:w="934"/>
        <w:gridCol w:w="880"/>
        <w:gridCol w:w="864"/>
        <w:gridCol w:w="804"/>
        <w:gridCol w:w="655"/>
        <w:gridCol w:w="1221"/>
        <w:gridCol w:w="822"/>
        <w:gridCol w:w="742"/>
        <w:gridCol w:w="935"/>
        <w:gridCol w:w="670"/>
        <w:gridCol w:w="76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1034" w:type="dxa"/>
            <w:gridSpan w:val="2"/>
            <w:vAlign w:val="center"/>
          </w:tcPr>
          <w:p>
            <w:pPr>
              <w:spacing w:line="280" w:lineRule="exact"/>
              <w:jc w:val="center"/>
              <w:rPr>
                <w:spacing w:val="-14"/>
                <w:szCs w:val="21"/>
              </w:rPr>
            </w:pPr>
            <w:r>
              <w:rPr>
                <w:rFonts w:hint="eastAsia"/>
                <w:spacing w:val="-14"/>
                <w:szCs w:val="21"/>
              </w:rPr>
              <w:t xml:space="preserve">     年</w:t>
            </w:r>
          </w:p>
        </w:tc>
        <w:tc>
          <w:tcPr>
            <w:tcW w:w="2171" w:type="dxa"/>
            <w:vMerge w:val="restart"/>
            <w:vAlign w:val="center"/>
          </w:tcPr>
          <w:p>
            <w:pPr>
              <w:spacing w:line="280" w:lineRule="exact"/>
              <w:jc w:val="center"/>
              <w:rPr>
                <w:spacing w:val="-14"/>
                <w:szCs w:val="21"/>
              </w:rPr>
            </w:pPr>
            <w:r>
              <w:rPr>
                <w:rFonts w:hint="eastAsia"/>
                <w:spacing w:val="-14"/>
                <w:szCs w:val="21"/>
              </w:rPr>
              <w:t>摘    要</w:t>
            </w:r>
          </w:p>
        </w:tc>
        <w:tc>
          <w:tcPr>
            <w:tcW w:w="828" w:type="dxa"/>
            <w:vMerge w:val="restart"/>
            <w:vAlign w:val="center"/>
          </w:tcPr>
          <w:p>
            <w:pPr>
              <w:spacing w:line="280" w:lineRule="exact"/>
              <w:jc w:val="center"/>
              <w:rPr>
                <w:spacing w:val="-14"/>
                <w:szCs w:val="21"/>
              </w:rPr>
            </w:pPr>
            <w:r>
              <w:rPr>
                <w:rFonts w:hint="eastAsia"/>
                <w:spacing w:val="-14"/>
                <w:szCs w:val="21"/>
              </w:rPr>
              <w:t>面积</w:t>
            </w:r>
          </w:p>
        </w:tc>
        <w:tc>
          <w:tcPr>
            <w:tcW w:w="3482" w:type="dxa"/>
            <w:gridSpan w:val="4"/>
            <w:vMerge w:val="restart"/>
            <w:vAlign w:val="center"/>
          </w:tcPr>
          <w:p>
            <w:pPr>
              <w:spacing w:line="280" w:lineRule="exact"/>
              <w:jc w:val="center"/>
              <w:rPr>
                <w:spacing w:val="-14"/>
                <w:szCs w:val="21"/>
              </w:rPr>
            </w:pPr>
            <w:r>
              <w:rPr>
                <w:rFonts w:hint="eastAsia"/>
                <w:spacing w:val="-14"/>
                <w:szCs w:val="21"/>
              </w:rPr>
              <w:t>四至</w:t>
            </w:r>
          </w:p>
        </w:tc>
        <w:tc>
          <w:tcPr>
            <w:tcW w:w="655" w:type="dxa"/>
            <w:vMerge w:val="restart"/>
            <w:vAlign w:val="center"/>
          </w:tcPr>
          <w:p>
            <w:pPr>
              <w:spacing w:line="280" w:lineRule="exact"/>
              <w:jc w:val="center"/>
              <w:rPr>
                <w:spacing w:val="-14"/>
                <w:szCs w:val="21"/>
              </w:rPr>
            </w:pPr>
            <w:r>
              <w:rPr>
                <w:rFonts w:hint="eastAsia"/>
                <w:spacing w:val="-14"/>
                <w:szCs w:val="21"/>
              </w:rPr>
              <w:t>利用方式</w:t>
            </w:r>
          </w:p>
        </w:tc>
        <w:tc>
          <w:tcPr>
            <w:tcW w:w="5150" w:type="dxa"/>
            <w:gridSpan w:val="6"/>
            <w:vAlign w:val="center"/>
          </w:tcPr>
          <w:p>
            <w:pPr>
              <w:spacing w:line="280" w:lineRule="exact"/>
              <w:jc w:val="center"/>
              <w:rPr>
                <w:spacing w:val="-14"/>
                <w:szCs w:val="21"/>
              </w:rPr>
            </w:pPr>
            <w:r>
              <w:rPr>
                <w:rFonts w:hint="eastAsia"/>
                <w:spacing w:val="-14"/>
                <w:szCs w:val="21"/>
              </w:rPr>
              <w:t>承包、出租、投资及使用情况</w:t>
            </w:r>
          </w:p>
        </w:tc>
        <w:tc>
          <w:tcPr>
            <w:tcW w:w="840" w:type="dxa"/>
            <w:vMerge w:val="restart"/>
            <w:tcBorders>
              <w:right w:val="single" w:color="auto" w:sz="4" w:space="0"/>
            </w:tcBorders>
            <w:vAlign w:val="center"/>
          </w:tcPr>
          <w:p>
            <w:pPr>
              <w:spacing w:line="280" w:lineRule="exact"/>
              <w:jc w:val="center"/>
              <w:rPr>
                <w:spacing w:val="-14"/>
                <w:szCs w:val="21"/>
              </w:rPr>
            </w:pPr>
            <w:r>
              <w:rPr>
                <w:rFonts w:hint="eastAsia"/>
                <w:spacing w:val="-14"/>
                <w:szCs w:val="21"/>
              </w:rPr>
              <w:t>合同</w:t>
            </w:r>
          </w:p>
          <w:p>
            <w:pPr>
              <w:spacing w:line="280" w:lineRule="exact"/>
              <w:jc w:val="center"/>
              <w:rPr>
                <w:spacing w:val="-14"/>
                <w:szCs w:val="21"/>
              </w:rPr>
            </w:pPr>
            <w:r>
              <w:rPr>
                <w:rFonts w:hint="eastAsia"/>
                <w:spacing w:val="-14"/>
                <w:szCs w:val="21"/>
              </w:rPr>
              <w:t>到期</w:t>
            </w:r>
          </w:p>
          <w:p>
            <w:pPr>
              <w:spacing w:line="280" w:lineRule="exact"/>
              <w:jc w:val="center"/>
              <w:rPr>
                <w:spacing w:val="-14"/>
                <w:szCs w:val="21"/>
              </w:rPr>
            </w:pPr>
            <w:r>
              <w:rPr>
                <w:rFonts w:hint="eastAsia"/>
                <w:spacing w:val="-14"/>
                <w:szCs w:val="21"/>
              </w:rPr>
              <w:t>收回</w:t>
            </w:r>
          </w:p>
          <w:p>
            <w:pPr>
              <w:spacing w:line="280" w:lineRule="exact"/>
              <w:jc w:val="center"/>
              <w:rPr>
                <w:spacing w:val="-14"/>
                <w:szCs w:val="21"/>
              </w:rPr>
            </w:pPr>
            <w:r>
              <w:rPr>
                <w:rFonts w:hint="eastAsia"/>
                <w:spacing w:val="-14"/>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494" w:type="dxa"/>
            <w:vMerge w:val="restart"/>
            <w:vAlign w:val="center"/>
          </w:tcPr>
          <w:p>
            <w:pPr>
              <w:spacing w:line="280" w:lineRule="exact"/>
              <w:jc w:val="center"/>
              <w:rPr>
                <w:spacing w:val="-14"/>
                <w:szCs w:val="21"/>
              </w:rPr>
            </w:pPr>
            <w:r>
              <w:rPr>
                <w:rFonts w:hint="eastAsia"/>
                <w:spacing w:val="-14"/>
                <w:szCs w:val="21"/>
              </w:rPr>
              <w:t>月</w:t>
            </w:r>
          </w:p>
        </w:tc>
        <w:tc>
          <w:tcPr>
            <w:tcW w:w="540" w:type="dxa"/>
            <w:vMerge w:val="restart"/>
            <w:vAlign w:val="center"/>
          </w:tcPr>
          <w:p>
            <w:pPr>
              <w:spacing w:line="280" w:lineRule="exact"/>
              <w:jc w:val="center"/>
              <w:rPr>
                <w:spacing w:val="-14"/>
                <w:szCs w:val="21"/>
              </w:rPr>
            </w:pPr>
            <w:r>
              <w:rPr>
                <w:rFonts w:hint="eastAsia"/>
                <w:spacing w:val="-14"/>
                <w:szCs w:val="21"/>
              </w:rPr>
              <w:t>日</w:t>
            </w:r>
          </w:p>
        </w:tc>
        <w:tc>
          <w:tcPr>
            <w:tcW w:w="2171" w:type="dxa"/>
            <w:vMerge w:val="continue"/>
            <w:vAlign w:val="center"/>
          </w:tcPr>
          <w:p>
            <w:pPr>
              <w:spacing w:line="280" w:lineRule="exact"/>
              <w:jc w:val="center"/>
              <w:rPr>
                <w:spacing w:val="-14"/>
                <w:szCs w:val="21"/>
              </w:rPr>
            </w:pPr>
          </w:p>
        </w:tc>
        <w:tc>
          <w:tcPr>
            <w:tcW w:w="828" w:type="dxa"/>
            <w:vMerge w:val="continue"/>
            <w:vAlign w:val="center"/>
          </w:tcPr>
          <w:p>
            <w:pPr>
              <w:spacing w:line="280" w:lineRule="exact"/>
              <w:jc w:val="center"/>
              <w:rPr>
                <w:spacing w:val="-14"/>
                <w:szCs w:val="21"/>
              </w:rPr>
            </w:pPr>
          </w:p>
        </w:tc>
        <w:tc>
          <w:tcPr>
            <w:tcW w:w="3482" w:type="dxa"/>
            <w:gridSpan w:val="4"/>
            <w:vMerge w:val="continue"/>
            <w:vAlign w:val="center"/>
          </w:tcPr>
          <w:p>
            <w:pPr>
              <w:spacing w:line="280" w:lineRule="exact"/>
              <w:jc w:val="center"/>
              <w:rPr>
                <w:spacing w:val="-14"/>
                <w:szCs w:val="21"/>
              </w:rPr>
            </w:pPr>
          </w:p>
        </w:tc>
        <w:tc>
          <w:tcPr>
            <w:tcW w:w="655" w:type="dxa"/>
            <w:vMerge w:val="continue"/>
            <w:vAlign w:val="center"/>
          </w:tcPr>
          <w:p>
            <w:pPr>
              <w:spacing w:line="280" w:lineRule="exact"/>
              <w:jc w:val="center"/>
              <w:rPr>
                <w:spacing w:val="-14"/>
                <w:szCs w:val="21"/>
              </w:rPr>
            </w:pPr>
          </w:p>
        </w:tc>
        <w:tc>
          <w:tcPr>
            <w:tcW w:w="1221" w:type="dxa"/>
            <w:vMerge w:val="restart"/>
            <w:vAlign w:val="center"/>
          </w:tcPr>
          <w:p>
            <w:pPr>
              <w:spacing w:line="280" w:lineRule="exact"/>
              <w:jc w:val="center"/>
              <w:rPr>
                <w:spacing w:val="-14"/>
                <w:szCs w:val="21"/>
              </w:rPr>
            </w:pPr>
            <w:r>
              <w:rPr>
                <w:rFonts w:hint="eastAsia"/>
                <w:spacing w:val="-14"/>
                <w:szCs w:val="21"/>
              </w:rPr>
              <w:t>单位</w:t>
            </w:r>
          </w:p>
          <w:p>
            <w:pPr>
              <w:spacing w:line="280" w:lineRule="exact"/>
              <w:jc w:val="center"/>
              <w:rPr>
                <w:spacing w:val="-14"/>
                <w:szCs w:val="21"/>
              </w:rPr>
            </w:pPr>
            <w:r>
              <w:rPr>
                <w:rFonts w:hint="eastAsia"/>
                <w:spacing w:val="-14"/>
                <w:szCs w:val="21"/>
              </w:rPr>
              <w:t>名称</w:t>
            </w:r>
          </w:p>
        </w:tc>
        <w:tc>
          <w:tcPr>
            <w:tcW w:w="822" w:type="dxa"/>
            <w:vMerge w:val="restart"/>
            <w:vAlign w:val="center"/>
          </w:tcPr>
          <w:p>
            <w:pPr>
              <w:spacing w:line="280" w:lineRule="exact"/>
              <w:jc w:val="center"/>
              <w:rPr>
                <w:spacing w:val="-14"/>
                <w:szCs w:val="21"/>
              </w:rPr>
            </w:pPr>
            <w:r>
              <w:rPr>
                <w:rFonts w:hint="eastAsia"/>
                <w:spacing w:val="-14"/>
                <w:szCs w:val="21"/>
              </w:rPr>
              <w:t>起止</w:t>
            </w:r>
          </w:p>
          <w:p>
            <w:pPr>
              <w:spacing w:line="280" w:lineRule="exact"/>
              <w:jc w:val="center"/>
              <w:rPr>
                <w:spacing w:val="-14"/>
                <w:szCs w:val="21"/>
              </w:rPr>
            </w:pPr>
            <w:r>
              <w:rPr>
                <w:rFonts w:hint="eastAsia"/>
                <w:spacing w:val="-14"/>
                <w:szCs w:val="21"/>
              </w:rPr>
              <w:t>时间</w:t>
            </w:r>
          </w:p>
        </w:tc>
        <w:tc>
          <w:tcPr>
            <w:tcW w:w="742" w:type="dxa"/>
            <w:vMerge w:val="restart"/>
            <w:vAlign w:val="center"/>
          </w:tcPr>
          <w:p>
            <w:pPr>
              <w:spacing w:line="280" w:lineRule="exact"/>
              <w:jc w:val="center"/>
              <w:rPr>
                <w:rFonts w:ascii="Verdana" w:hAnsi="Verdana" w:cs="Arial"/>
                <w:color w:val="333333"/>
                <w:spacing w:val="-14"/>
                <w:kern w:val="0"/>
                <w:szCs w:val="21"/>
              </w:rPr>
            </w:pPr>
            <w:r>
              <w:rPr>
                <w:rFonts w:hint="eastAsia" w:ascii="Verdana" w:hAnsi="Verdana" w:cs="Arial"/>
                <w:color w:val="333333"/>
                <w:spacing w:val="-14"/>
                <w:kern w:val="0"/>
                <w:szCs w:val="21"/>
              </w:rPr>
              <w:t>合同编号</w:t>
            </w:r>
          </w:p>
        </w:tc>
        <w:tc>
          <w:tcPr>
            <w:tcW w:w="935" w:type="dxa"/>
            <w:vMerge w:val="restart"/>
            <w:vAlign w:val="center"/>
          </w:tcPr>
          <w:p>
            <w:pPr>
              <w:spacing w:line="280" w:lineRule="exact"/>
              <w:jc w:val="center"/>
              <w:rPr>
                <w:rFonts w:ascii="Verdana" w:hAnsi="Verdana" w:cs="Arial"/>
                <w:color w:val="333333"/>
                <w:spacing w:val="-14"/>
                <w:kern w:val="0"/>
                <w:szCs w:val="21"/>
              </w:rPr>
            </w:pPr>
            <w:r>
              <w:rPr>
                <w:rFonts w:hint="eastAsia" w:ascii="Verdana" w:hAnsi="Verdana" w:cs="Arial"/>
                <w:color w:val="333333"/>
                <w:spacing w:val="-14"/>
                <w:kern w:val="0"/>
                <w:szCs w:val="21"/>
              </w:rPr>
              <w:t>年收</w:t>
            </w:r>
          </w:p>
          <w:p>
            <w:pPr>
              <w:spacing w:line="280" w:lineRule="exact"/>
              <w:jc w:val="center"/>
              <w:rPr>
                <w:rFonts w:ascii="Verdana" w:hAnsi="Verdana" w:cs="Arial"/>
                <w:color w:val="333333"/>
                <w:spacing w:val="-14"/>
                <w:kern w:val="0"/>
                <w:szCs w:val="21"/>
              </w:rPr>
            </w:pPr>
            <w:r>
              <w:rPr>
                <w:rFonts w:hint="eastAsia" w:ascii="Verdana" w:hAnsi="Verdana" w:cs="Arial"/>
                <w:color w:val="333333"/>
                <w:spacing w:val="-14"/>
                <w:kern w:val="0"/>
                <w:szCs w:val="21"/>
              </w:rPr>
              <w:t>益额</w:t>
            </w:r>
          </w:p>
        </w:tc>
        <w:tc>
          <w:tcPr>
            <w:tcW w:w="670" w:type="dxa"/>
            <w:vMerge w:val="restart"/>
            <w:vAlign w:val="center"/>
          </w:tcPr>
          <w:p>
            <w:pPr>
              <w:spacing w:line="280" w:lineRule="exact"/>
              <w:jc w:val="center"/>
              <w:rPr>
                <w:spacing w:val="-14"/>
                <w:szCs w:val="21"/>
              </w:rPr>
            </w:pPr>
            <w:r>
              <w:rPr>
                <w:rFonts w:hint="eastAsia"/>
                <w:spacing w:val="-14"/>
                <w:szCs w:val="21"/>
              </w:rPr>
              <w:t>收益方式</w:t>
            </w:r>
          </w:p>
        </w:tc>
        <w:tc>
          <w:tcPr>
            <w:tcW w:w="760" w:type="dxa"/>
            <w:vMerge w:val="restart"/>
            <w:vAlign w:val="center"/>
          </w:tcPr>
          <w:p>
            <w:pPr>
              <w:spacing w:line="280" w:lineRule="exact"/>
              <w:jc w:val="center"/>
              <w:rPr>
                <w:spacing w:val="-14"/>
                <w:szCs w:val="21"/>
              </w:rPr>
            </w:pPr>
            <w:r>
              <w:rPr>
                <w:rFonts w:hint="eastAsia"/>
                <w:spacing w:val="-14"/>
                <w:szCs w:val="21"/>
              </w:rPr>
              <w:t>兑现</w:t>
            </w:r>
          </w:p>
          <w:p>
            <w:pPr>
              <w:spacing w:line="280" w:lineRule="exact"/>
              <w:jc w:val="center"/>
              <w:rPr>
                <w:rFonts w:eastAsia="宋体"/>
                <w:spacing w:val="-14"/>
                <w:szCs w:val="21"/>
              </w:rPr>
            </w:pPr>
            <w:r>
              <w:rPr>
                <w:rFonts w:hint="eastAsia"/>
                <w:spacing w:val="-14"/>
                <w:szCs w:val="21"/>
              </w:rPr>
              <w:t>金额</w:t>
            </w:r>
          </w:p>
        </w:tc>
        <w:tc>
          <w:tcPr>
            <w:tcW w:w="840" w:type="dxa"/>
            <w:vMerge w:val="continue"/>
            <w:tcBorders>
              <w:right w:val="single" w:color="auto" w:sz="4" w:space="0"/>
            </w:tcBorders>
            <w:vAlign w:val="center"/>
          </w:tcPr>
          <w:p>
            <w:pPr>
              <w:spacing w:line="280" w:lineRule="exact"/>
              <w:jc w:val="center"/>
              <w:rPr>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494" w:type="dxa"/>
            <w:vMerge w:val="continue"/>
            <w:vAlign w:val="top"/>
          </w:tcPr>
          <w:p>
            <w:pPr>
              <w:spacing w:line="280" w:lineRule="exact"/>
              <w:jc w:val="center"/>
              <w:rPr>
                <w:spacing w:val="-14"/>
                <w:szCs w:val="21"/>
              </w:rPr>
            </w:pPr>
          </w:p>
        </w:tc>
        <w:tc>
          <w:tcPr>
            <w:tcW w:w="540" w:type="dxa"/>
            <w:vMerge w:val="continue"/>
            <w:vAlign w:val="top"/>
          </w:tcPr>
          <w:p>
            <w:pPr>
              <w:spacing w:line="280" w:lineRule="exact"/>
              <w:jc w:val="center"/>
              <w:rPr>
                <w:spacing w:val="-14"/>
                <w:szCs w:val="21"/>
              </w:rPr>
            </w:pPr>
          </w:p>
        </w:tc>
        <w:tc>
          <w:tcPr>
            <w:tcW w:w="2171" w:type="dxa"/>
            <w:vMerge w:val="continue"/>
            <w:vAlign w:val="center"/>
          </w:tcPr>
          <w:p>
            <w:pPr>
              <w:spacing w:line="280" w:lineRule="exact"/>
              <w:jc w:val="center"/>
              <w:rPr>
                <w:spacing w:val="-14"/>
                <w:szCs w:val="21"/>
              </w:rPr>
            </w:pPr>
          </w:p>
        </w:tc>
        <w:tc>
          <w:tcPr>
            <w:tcW w:w="828" w:type="dxa"/>
            <w:vMerge w:val="continue"/>
            <w:vAlign w:val="center"/>
          </w:tcPr>
          <w:p>
            <w:pPr>
              <w:spacing w:line="280" w:lineRule="exact"/>
              <w:jc w:val="center"/>
              <w:rPr>
                <w:spacing w:val="-14"/>
                <w:szCs w:val="21"/>
              </w:rPr>
            </w:pPr>
          </w:p>
        </w:tc>
        <w:tc>
          <w:tcPr>
            <w:tcW w:w="934" w:type="dxa"/>
            <w:vAlign w:val="center"/>
          </w:tcPr>
          <w:p>
            <w:pPr>
              <w:jc w:val="center"/>
              <w:rPr>
                <w:spacing w:val="-14"/>
                <w:szCs w:val="21"/>
              </w:rPr>
            </w:pPr>
            <w:r>
              <w:rPr>
                <w:rFonts w:hint="eastAsia"/>
                <w:szCs w:val="21"/>
              </w:rPr>
              <w:t>东至</w:t>
            </w:r>
          </w:p>
        </w:tc>
        <w:tc>
          <w:tcPr>
            <w:tcW w:w="880" w:type="dxa"/>
            <w:vAlign w:val="center"/>
          </w:tcPr>
          <w:p>
            <w:pPr>
              <w:jc w:val="center"/>
              <w:rPr>
                <w:spacing w:val="-14"/>
                <w:szCs w:val="21"/>
              </w:rPr>
            </w:pPr>
            <w:r>
              <w:rPr>
                <w:rFonts w:hint="eastAsia"/>
                <w:szCs w:val="21"/>
              </w:rPr>
              <w:t>南至</w:t>
            </w:r>
          </w:p>
        </w:tc>
        <w:tc>
          <w:tcPr>
            <w:tcW w:w="864" w:type="dxa"/>
            <w:vAlign w:val="center"/>
          </w:tcPr>
          <w:p>
            <w:pPr>
              <w:jc w:val="center"/>
              <w:rPr>
                <w:spacing w:val="-14"/>
                <w:szCs w:val="21"/>
              </w:rPr>
            </w:pPr>
            <w:r>
              <w:rPr>
                <w:rFonts w:hint="eastAsia"/>
                <w:szCs w:val="21"/>
              </w:rPr>
              <w:t>西至</w:t>
            </w:r>
          </w:p>
        </w:tc>
        <w:tc>
          <w:tcPr>
            <w:tcW w:w="804" w:type="dxa"/>
            <w:vAlign w:val="center"/>
          </w:tcPr>
          <w:p>
            <w:pPr>
              <w:jc w:val="center"/>
              <w:rPr>
                <w:spacing w:val="-14"/>
                <w:szCs w:val="21"/>
              </w:rPr>
            </w:pPr>
            <w:r>
              <w:rPr>
                <w:rFonts w:hint="eastAsia"/>
                <w:szCs w:val="21"/>
              </w:rPr>
              <w:t>北至</w:t>
            </w:r>
          </w:p>
        </w:tc>
        <w:tc>
          <w:tcPr>
            <w:tcW w:w="655" w:type="dxa"/>
            <w:vMerge w:val="continue"/>
            <w:vAlign w:val="center"/>
          </w:tcPr>
          <w:p>
            <w:pPr>
              <w:spacing w:line="280" w:lineRule="exact"/>
              <w:jc w:val="center"/>
              <w:rPr>
                <w:spacing w:val="-14"/>
                <w:szCs w:val="21"/>
              </w:rPr>
            </w:pPr>
          </w:p>
        </w:tc>
        <w:tc>
          <w:tcPr>
            <w:tcW w:w="1221" w:type="dxa"/>
            <w:vMerge w:val="continue"/>
            <w:vAlign w:val="center"/>
          </w:tcPr>
          <w:p>
            <w:pPr>
              <w:spacing w:line="280" w:lineRule="exact"/>
              <w:jc w:val="center"/>
              <w:rPr>
                <w:spacing w:val="-14"/>
                <w:szCs w:val="21"/>
              </w:rPr>
            </w:pPr>
          </w:p>
        </w:tc>
        <w:tc>
          <w:tcPr>
            <w:tcW w:w="822" w:type="dxa"/>
            <w:vMerge w:val="continue"/>
            <w:vAlign w:val="center"/>
          </w:tcPr>
          <w:p>
            <w:pPr>
              <w:spacing w:line="280" w:lineRule="exact"/>
              <w:jc w:val="center"/>
              <w:rPr>
                <w:spacing w:val="-14"/>
                <w:szCs w:val="21"/>
              </w:rPr>
            </w:pPr>
          </w:p>
        </w:tc>
        <w:tc>
          <w:tcPr>
            <w:tcW w:w="742" w:type="dxa"/>
            <w:vMerge w:val="continue"/>
            <w:vAlign w:val="center"/>
          </w:tcPr>
          <w:p>
            <w:pPr>
              <w:spacing w:line="280" w:lineRule="exact"/>
              <w:jc w:val="center"/>
              <w:rPr>
                <w:rFonts w:ascii="Verdana" w:hAnsi="Verdana" w:cs="Arial"/>
                <w:color w:val="333333"/>
                <w:spacing w:val="-14"/>
                <w:kern w:val="0"/>
                <w:szCs w:val="21"/>
              </w:rPr>
            </w:pPr>
          </w:p>
        </w:tc>
        <w:tc>
          <w:tcPr>
            <w:tcW w:w="935" w:type="dxa"/>
            <w:vMerge w:val="continue"/>
            <w:vAlign w:val="center"/>
          </w:tcPr>
          <w:p>
            <w:pPr>
              <w:spacing w:line="280" w:lineRule="exact"/>
              <w:jc w:val="center"/>
              <w:rPr>
                <w:rFonts w:ascii="Verdana" w:hAnsi="Verdana" w:cs="Arial"/>
                <w:color w:val="333333"/>
                <w:spacing w:val="-14"/>
                <w:kern w:val="0"/>
                <w:szCs w:val="21"/>
              </w:rPr>
            </w:pPr>
          </w:p>
        </w:tc>
        <w:tc>
          <w:tcPr>
            <w:tcW w:w="670" w:type="dxa"/>
            <w:vMerge w:val="continue"/>
            <w:vAlign w:val="center"/>
          </w:tcPr>
          <w:p>
            <w:pPr>
              <w:spacing w:line="280" w:lineRule="exact"/>
              <w:jc w:val="center"/>
              <w:rPr>
                <w:spacing w:val="-14"/>
                <w:szCs w:val="21"/>
              </w:rPr>
            </w:pPr>
          </w:p>
        </w:tc>
        <w:tc>
          <w:tcPr>
            <w:tcW w:w="760" w:type="dxa"/>
            <w:vMerge w:val="continue"/>
            <w:vAlign w:val="center"/>
          </w:tcPr>
          <w:p>
            <w:pPr>
              <w:spacing w:line="280" w:lineRule="exact"/>
              <w:jc w:val="center"/>
              <w:rPr>
                <w:spacing w:val="-14"/>
                <w:szCs w:val="21"/>
              </w:rPr>
            </w:pPr>
          </w:p>
        </w:tc>
        <w:tc>
          <w:tcPr>
            <w:tcW w:w="840" w:type="dxa"/>
            <w:vMerge w:val="continue"/>
            <w:tcBorders>
              <w:right w:val="single" w:color="auto" w:sz="4" w:space="0"/>
            </w:tcBorders>
            <w:vAlign w:val="center"/>
          </w:tcPr>
          <w:p>
            <w:pPr>
              <w:spacing w:line="280" w:lineRule="exact"/>
              <w:jc w:val="center"/>
              <w:rPr>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494" w:type="dxa"/>
            <w:vAlign w:val="top"/>
          </w:tcPr>
          <w:p>
            <w:pPr>
              <w:rPr>
                <w:spacing w:val="-14"/>
                <w:szCs w:val="21"/>
              </w:rPr>
            </w:pPr>
          </w:p>
        </w:tc>
        <w:tc>
          <w:tcPr>
            <w:tcW w:w="540" w:type="dxa"/>
            <w:vAlign w:val="top"/>
          </w:tcPr>
          <w:p>
            <w:pPr>
              <w:rPr>
                <w:spacing w:val="-14"/>
                <w:szCs w:val="21"/>
              </w:rPr>
            </w:pPr>
          </w:p>
        </w:tc>
        <w:tc>
          <w:tcPr>
            <w:tcW w:w="2171" w:type="dxa"/>
            <w:vAlign w:val="top"/>
          </w:tcPr>
          <w:p>
            <w:pPr>
              <w:rPr>
                <w:spacing w:val="-14"/>
                <w:szCs w:val="21"/>
              </w:rPr>
            </w:pPr>
          </w:p>
        </w:tc>
        <w:tc>
          <w:tcPr>
            <w:tcW w:w="828" w:type="dxa"/>
            <w:vAlign w:val="top"/>
          </w:tcPr>
          <w:p>
            <w:pPr>
              <w:spacing w:line="280" w:lineRule="exact"/>
              <w:jc w:val="center"/>
              <w:rPr>
                <w:spacing w:val="-14"/>
                <w:szCs w:val="21"/>
              </w:rPr>
            </w:pPr>
          </w:p>
        </w:tc>
        <w:tc>
          <w:tcPr>
            <w:tcW w:w="934" w:type="dxa"/>
            <w:vAlign w:val="top"/>
          </w:tcPr>
          <w:p>
            <w:pPr>
              <w:rPr>
                <w:spacing w:val="-14"/>
                <w:szCs w:val="21"/>
              </w:rPr>
            </w:pPr>
          </w:p>
        </w:tc>
        <w:tc>
          <w:tcPr>
            <w:tcW w:w="880" w:type="dxa"/>
            <w:vAlign w:val="top"/>
          </w:tcPr>
          <w:p>
            <w:pPr>
              <w:rPr>
                <w:spacing w:val="-14"/>
                <w:szCs w:val="21"/>
              </w:rPr>
            </w:pPr>
          </w:p>
        </w:tc>
        <w:tc>
          <w:tcPr>
            <w:tcW w:w="864" w:type="dxa"/>
            <w:vAlign w:val="top"/>
          </w:tcPr>
          <w:p>
            <w:pPr>
              <w:rPr>
                <w:spacing w:val="-14"/>
                <w:szCs w:val="21"/>
              </w:rPr>
            </w:pPr>
          </w:p>
        </w:tc>
        <w:tc>
          <w:tcPr>
            <w:tcW w:w="804" w:type="dxa"/>
            <w:vAlign w:val="top"/>
          </w:tcPr>
          <w:p>
            <w:pPr>
              <w:rPr>
                <w:spacing w:val="-14"/>
                <w:szCs w:val="21"/>
              </w:rPr>
            </w:pPr>
          </w:p>
        </w:tc>
        <w:tc>
          <w:tcPr>
            <w:tcW w:w="655" w:type="dxa"/>
            <w:vAlign w:val="top"/>
          </w:tcPr>
          <w:p>
            <w:pPr>
              <w:rPr>
                <w:spacing w:val="-14"/>
                <w:szCs w:val="21"/>
              </w:rPr>
            </w:pPr>
          </w:p>
        </w:tc>
        <w:tc>
          <w:tcPr>
            <w:tcW w:w="1221" w:type="dxa"/>
            <w:vAlign w:val="center"/>
          </w:tcPr>
          <w:p>
            <w:pPr>
              <w:jc w:val="center"/>
              <w:rPr>
                <w:spacing w:val="-14"/>
                <w:szCs w:val="21"/>
              </w:rPr>
            </w:pPr>
          </w:p>
        </w:tc>
        <w:tc>
          <w:tcPr>
            <w:tcW w:w="822" w:type="dxa"/>
            <w:vAlign w:val="center"/>
          </w:tcPr>
          <w:p>
            <w:pPr>
              <w:rPr>
                <w:spacing w:val="-14"/>
                <w:szCs w:val="21"/>
              </w:rPr>
            </w:pPr>
          </w:p>
        </w:tc>
        <w:tc>
          <w:tcPr>
            <w:tcW w:w="742" w:type="dxa"/>
            <w:vAlign w:val="top"/>
          </w:tcPr>
          <w:p>
            <w:pPr>
              <w:rPr>
                <w:spacing w:val="-14"/>
                <w:szCs w:val="21"/>
              </w:rPr>
            </w:pPr>
          </w:p>
        </w:tc>
        <w:tc>
          <w:tcPr>
            <w:tcW w:w="935" w:type="dxa"/>
            <w:vAlign w:val="top"/>
          </w:tcPr>
          <w:p>
            <w:pPr>
              <w:rPr>
                <w:spacing w:val="-14"/>
                <w:szCs w:val="21"/>
              </w:rPr>
            </w:pPr>
          </w:p>
        </w:tc>
        <w:tc>
          <w:tcPr>
            <w:tcW w:w="670" w:type="dxa"/>
            <w:vAlign w:val="top"/>
          </w:tcPr>
          <w:p>
            <w:pPr>
              <w:rPr>
                <w:spacing w:val="-14"/>
                <w:szCs w:val="21"/>
              </w:rPr>
            </w:pPr>
          </w:p>
        </w:tc>
        <w:tc>
          <w:tcPr>
            <w:tcW w:w="760" w:type="dxa"/>
            <w:vAlign w:val="top"/>
          </w:tcPr>
          <w:p>
            <w:pPr>
              <w:rPr>
                <w:spacing w:val="-14"/>
                <w:szCs w:val="21"/>
              </w:rPr>
            </w:pPr>
          </w:p>
        </w:tc>
        <w:tc>
          <w:tcPr>
            <w:tcW w:w="840" w:type="dxa"/>
            <w:vAlign w:val="top"/>
          </w:tcPr>
          <w:p>
            <w:pPr>
              <w:rPr>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494" w:type="dxa"/>
            <w:vAlign w:val="top"/>
          </w:tcPr>
          <w:p>
            <w:pPr>
              <w:rPr>
                <w:spacing w:val="-14"/>
                <w:szCs w:val="21"/>
              </w:rPr>
            </w:pPr>
          </w:p>
        </w:tc>
        <w:tc>
          <w:tcPr>
            <w:tcW w:w="540" w:type="dxa"/>
            <w:vAlign w:val="top"/>
          </w:tcPr>
          <w:p>
            <w:pPr>
              <w:rPr>
                <w:spacing w:val="-14"/>
                <w:szCs w:val="21"/>
              </w:rPr>
            </w:pPr>
          </w:p>
        </w:tc>
        <w:tc>
          <w:tcPr>
            <w:tcW w:w="2171" w:type="dxa"/>
            <w:vAlign w:val="top"/>
          </w:tcPr>
          <w:p>
            <w:pPr>
              <w:rPr>
                <w:spacing w:val="-14"/>
                <w:szCs w:val="21"/>
              </w:rPr>
            </w:pPr>
          </w:p>
        </w:tc>
        <w:tc>
          <w:tcPr>
            <w:tcW w:w="828" w:type="dxa"/>
            <w:vAlign w:val="top"/>
          </w:tcPr>
          <w:p>
            <w:pPr>
              <w:rPr>
                <w:spacing w:val="-14"/>
                <w:szCs w:val="21"/>
              </w:rPr>
            </w:pPr>
          </w:p>
        </w:tc>
        <w:tc>
          <w:tcPr>
            <w:tcW w:w="934" w:type="dxa"/>
            <w:vAlign w:val="top"/>
          </w:tcPr>
          <w:p>
            <w:pPr>
              <w:rPr>
                <w:spacing w:val="-14"/>
                <w:szCs w:val="21"/>
              </w:rPr>
            </w:pPr>
          </w:p>
        </w:tc>
        <w:tc>
          <w:tcPr>
            <w:tcW w:w="880" w:type="dxa"/>
            <w:vAlign w:val="top"/>
          </w:tcPr>
          <w:p>
            <w:pPr>
              <w:rPr>
                <w:spacing w:val="-14"/>
                <w:szCs w:val="21"/>
              </w:rPr>
            </w:pPr>
          </w:p>
        </w:tc>
        <w:tc>
          <w:tcPr>
            <w:tcW w:w="864" w:type="dxa"/>
            <w:vAlign w:val="top"/>
          </w:tcPr>
          <w:p>
            <w:pPr>
              <w:rPr>
                <w:spacing w:val="-14"/>
                <w:szCs w:val="21"/>
              </w:rPr>
            </w:pPr>
          </w:p>
        </w:tc>
        <w:tc>
          <w:tcPr>
            <w:tcW w:w="804" w:type="dxa"/>
            <w:vAlign w:val="top"/>
          </w:tcPr>
          <w:p>
            <w:pPr>
              <w:rPr>
                <w:spacing w:val="-14"/>
                <w:szCs w:val="21"/>
              </w:rPr>
            </w:pPr>
          </w:p>
        </w:tc>
        <w:tc>
          <w:tcPr>
            <w:tcW w:w="655" w:type="dxa"/>
            <w:vAlign w:val="top"/>
          </w:tcPr>
          <w:p>
            <w:pPr>
              <w:rPr>
                <w:spacing w:val="-14"/>
                <w:szCs w:val="21"/>
              </w:rPr>
            </w:pPr>
          </w:p>
        </w:tc>
        <w:tc>
          <w:tcPr>
            <w:tcW w:w="1221" w:type="dxa"/>
            <w:vAlign w:val="top"/>
          </w:tcPr>
          <w:p>
            <w:pPr>
              <w:rPr>
                <w:spacing w:val="-14"/>
                <w:szCs w:val="21"/>
              </w:rPr>
            </w:pPr>
          </w:p>
        </w:tc>
        <w:tc>
          <w:tcPr>
            <w:tcW w:w="822" w:type="dxa"/>
            <w:vAlign w:val="top"/>
          </w:tcPr>
          <w:p>
            <w:pPr>
              <w:rPr>
                <w:spacing w:val="-14"/>
                <w:szCs w:val="21"/>
              </w:rPr>
            </w:pPr>
          </w:p>
        </w:tc>
        <w:tc>
          <w:tcPr>
            <w:tcW w:w="742" w:type="dxa"/>
            <w:vAlign w:val="top"/>
          </w:tcPr>
          <w:p>
            <w:pPr>
              <w:rPr>
                <w:spacing w:val="-14"/>
                <w:szCs w:val="21"/>
              </w:rPr>
            </w:pPr>
          </w:p>
        </w:tc>
        <w:tc>
          <w:tcPr>
            <w:tcW w:w="935" w:type="dxa"/>
            <w:vAlign w:val="top"/>
          </w:tcPr>
          <w:p>
            <w:pPr>
              <w:rPr>
                <w:spacing w:val="-14"/>
                <w:szCs w:val="21"/>
              </w:rPr>
            </w:pPr>
          </w:p>
        </w:tc>
        <w:tc>
          <w:tcPr>
            <w:tcW w:w="670" w:type="dxa"/>
            <w:vAlign w:val="top"/>
          </w:tcPr>
          <w:p>
            <w:pPr>
              <w:rPr>
                <w:spacing w:val="-14"/>
                <w:szCs w:val="21"/>
              </w:rPr>
            </w:pPr>
          </w:p>
        </w:tc>
        <w:tc>
          <w:tcPr>
            <w:tcW w:w="760" w:type="dxa"/>
            <w:vAlign w:val="top"/>
          </w:tcPr>
          <w:p>
            <w:pPr>
              <w:rPr>
                <w:spacing w:val="-14"/>
                <w:szCs w:val="21"/>
              </w:rPr>
            </w:pPr>
          </w:p>
        </w:tc>
        <w:tc>
          <w:tcPr>
            <w:tcW w:w="840" w:type="dxa"/>
            <w:vAlign w:val="top"/>
          </w:tcPr>
          <w:p>
            <w:pPr>
              <w:rPr>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494" w:type="dxa"/>
            <w:vAlign w:val="top"/>
          </w:tcPr>
          <w:p>
            <w:pPr>
              <w:rPr>
                <w:spacing w:val="-14"/>
                <w:szCs w:val="21"/>
              </w:rPr>
            </w:pPr>
          </w:p>
        </w:tc>
        <w:tc>
          <w:tcPr>
            <w:tcW w:w="540" w:type="dxa"/>
            <w:vAlign w:val="top"/>
          </w:tcPr>
          <w:p>
            <w:pPr>
              <w:rPr>
                <w:spacing w:val="-14"/>
                <w:szCs w:val="21"/>
              </w:rPr>
            </w:pPr>
          </w:p>
        </w:tc>
        <w:tc>
          <w:tcPr>
            <w:tcW w:w="2171" w:type="dxa"/>
            <w:vAlign w:val="top"/>
          </w:tcPr>
          <w:p>
            <w:pPr>
              <w:rPr>
                <w:spacing w:val="-14"/>
                <w:szCs w:val="21"/>
              </w:rPr>
            </w:pPr>
          </w:p>
        </w:tc>
        <w:tc>
          <w:tcPr>
            <w:tcW w:w="828" w:type="dxa"/>
            <w:vAlign w:val="top"/>
          </w:tcPr>
          <w:p>
            <w:pPr>
              <w:rPr>
                <w:spacing w:val="-14"/>
                <w:szCs w:val="21"/>
              </w:rPr>
            </w:pPr>
          </w:p>
        </w:tc>
        <w:tc>
          <w:tcPr>
            <w:tcW w:w="934" w:type="dxa"/>
            <w:vAlign w:val="top"/>
          </w:tcPr>
          <w:p>
            <w:pPr>
              <w:rPr>
                <w:spacing w:val="-14"/>
                <w:szCs w:val="21"/>
              </w:rPr>
            </w:pPr>
          </w:p>
        </w:tc>
        <w:tc>
          <w:tcPr>
            <w:tcW w:w="880" w:type="dxa"/>
            <w:vAlign w:val="top"/>
          </w:tcPr>
          <w:p>
            <w:pPr>
              <w:rPr>
                <w:spacing w:val="-14"/>
                <w:szCs w:val="21"/>
              </w:rPr>
            </w:pPr>
          </w:p>
        </w:tc>
        <w:tc>
          <w:tcPr>
            <w:tcW w:w="864" w:type="dxa"/>
            <w:vAlign w:val="top"/>
          </w:tcPr>
          <w:p>
            <w:pPr>
              <w:rPr>
                <w:spacing w:val="-14"/>
                <w:szCs w:val="21"/>
              </w:rPr>
            </w:pPr>
          </w:p>
        </w:tc>
        <w:tc>
          <w:tcPr>
            <w:tcW w:w="804" w:type="dxa"/>
            <w:vAlign w:val="top"/>
          </w:tcPr>
          <w:p>
            <w:pPr>
              <w:rPr>
                <w:spacing w:val="-14"/>
                <w:szCs w:val="21"/>
              </w:rPr>
            </w:pPr>
          </w:p>
        </w:tc>
        <w:tc>
          <w:tcPr>
            <w:tcW w:w="655" w:type="dxa"/>
            <w:vAlign w:val="top"/>
          </w:tcPr>
          <w:p>
            <w:pPr>
              <w:rPr>
                <w:spacing w:val="-14"/>
                <w:szCs w:val="21"/>
              </w:rPr>
            </w:pPr>
          </w:p>
        </w:tc>
        <w:tc>
          <w:tcPr>
            <w:tcW w:w="1221" w:type="dxa"/>
            <w:vAlign w:val="top"/>
          </w:tcPr>
          <w:p>
            <w:pPr>
              <w:rPr>
                <w:spacing w:val="-14"/>
                <w:szCs w:val="21"/>
              </w:rPr>
            </w:pPr>
          </w:p>
        </w:tc>
        <w:tc>
          <w:tcPr>
            <w:tcW w:w="822" w:type="dxa"/>
            <w:vAlign w:val="top"/>
          </w:tcPr>
          <w:p>
            <w:pPr>
              <w:rPr>
                <w:spacing w:val="-14"/>
                <w:szCs w:val="21"/>
              </w:rPr>
            </w:pPr>
          </w:p>
        </w:tc>
        <w:tc>
          <w:tcPr>
            <w:tcW w:w="742" w:type="dxa"/>
            <w:vAlign w:val="top"/>
          </w:tcPr>
          <w:p>
            <w:pPr>
              <w:rPr>
                <w:spacing w:val="-14"/>
                <w:szCs w:val="21"/>
              </w:rPr>
            </w:pPr>
          </w:p>
        </w:tc>
        <w:tc>
          <w:tcPr>
            <w:tcW w:w="935" w:type="dxa"/>
            <w:vAlign w:val="top"/>
          </w:tcPr>
          <w:p>
            <w:pPr>
              <w:rPr>
                <w:spacing w:val="-14"/>
                <w:szCs w:val="21"/>
              </w:rPr>
            </w:pPr>
          </w:p>
        </w:tc>
        <w:tc>
          <w:tcPr>
            <w:tcW w:w="670" w:type="dxa"/>
            <w:vAlign w:val="top"/>
          </w:tcPr>
          <w:p>
            <w:pPr>
              <w:rPr>
                <w:spacing w:val="-14"/>
                <w:szCs w:val="21"/>
              </w:rPr>
            </w:pPr>
          </w:p>
        </w:tc>
        <w:tc>
          <w:tcPr>
            <w:tcW w:w="760" w:type="dxa"/>
            <w:vAlign w:val="top"/>
          </w:tcPr>
          <w:p>
            <w:pPr>
              <w:rPr>
                <w:spacing w:val="-14"/>
                <w:szCs w:val="21"/>
              </w:rPr>
            </w:pPr>
          </w:p>
        </w:tc>
        <w:tc>
          <w:tcPr>
            <w:tcW w:w="840" w:type="dxa"/>
            <w:vAlign w:val="top"/>
          </w:tcPr>
          <w:p>
            <w:pPr>
              <w:rPr>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494" w:type="dxa"/>
            <w:vAlign w:val="top"/>
          </w:tcPr>
          <w:p>
            <w:pPr>
              <w:rPr>
                <w:spacing w:val="-14"/>
                <w:szCs w:val="21"/>
              </w:rPr>
            </w:pPr>
          </w:p>
        </w:tc>
        <w:tc>
          <w:tcPr>
            <w:tcW w:w="540" w:type="dxa"/>
            <w:vAlign w:val="top"/>
          </w:tcPr>
          <w:p>
            <w:pPr>
              <w:rPr>
                <w:spacing w:val="-14"/>
                <w:szCs w:val="21"/>
              </w:rPr>
            </w:pPr>
          </w:p>
        </w:tc>
        <w:tc>
          <w:tcPr>
            <w:tcW w:w="2171" w:type="dxa"/>
            <w:vAlign w:val="top"/>
          </w:tcPr>
          <w:p>
            <w:pPr>
              <w:rPr>
                <w:spacing w:val="-14"/>
                <w:szCs w:val="21"/>
              </w:rPr>
            </w:pPr>
          </w:p>
        </w:tc>
        <w:tc>
          <w:tcPr>
            <w:tcW w:w="828" w:type="dxa"/>
            <w:vAlign w:val="top"/>
          </w:tcPr>
          <w:p>
            <w:pPr>
              <w:rPr>
                <w:spacing w:val="-14"/>
                <w:szCs w:val="21"/>
              </w:rPr>
            </w:pPr>
          </w:p>
        </w:tc>
        <w:tc>
          <w:tcPr>
            <w:tcW w:w="934" w:type="dxa"/>
            <w:vAlign w:val="top"/>
          </w:tcPr>
          <w:p>
            <w:pPr>
              <w:rPr>
                <w:spacing w:val="-14"/>
                <w:szCs w:val="21"/>
              </w:rPr>
            </w:pPr>
          </w:p>
        </w:tc>
        <w:tc>
          <w:tcPr>
            <w:tcW w:w="880" w:type="dxa"/>
            <w:vAlign w:val="top"/>
          </w:tcPr>
          <w:p>
            <w:pPr>
              <w:rPr>
                <w:spacing w:val="-14"/>
                <w:szCs w:val="21"/>
              </w:rPr>
            </w:pPr>
          </w:p>
        </w:tc>
        <w:tc>
          <w:tcPr>
            <w:tcW w:w="864" w:type="dxa"/>
            <w:vAlign w:val="top"/>
          </w:tcPr>
          <w:p>
            <w:pPr>
              <w:rPr>
                <w:spacing w:val="-14"/>
                <w:szCs w:val="21"/>
              </w:rPr>
            </w:pPr>
          </w:p>
        </w:tc>
        <w:tc>
          <w:tcPr>
            <w:tcW w:w="804" w:type="dxa"/>
            <w:vAlign w:val="top"/>
          </w:tcPr>
          <w:p>
            <w:pPr>
              <w:rPr>
                <w:spacing w:val="-14"/>
                <w:szCs w:val="21"/>
              </w:rPr>
            </w:pPr>
          </w:p>
        </w:tc>
        <w:tc>
          <w:tcPr>
            <w:tcW w:w="655" w:type="dxa"/>
            <w:vAlign w:val="top"/>
          </w:tcPr>
          <w:p>
            <w:pPr>
              <w:rPr>
                <w:spacing w:val="-14"/>
                <w:szCs w:val="21"/>
              </w:rPr>
            </w:pPr>
          </w:p>
        </w:tc>
        <w:tc>
          <w:tcPr>
            <w:tcW w:w="1221" w:type="dxa"/>
            <w:vAlign w:val="top"/>
          </w:tcPr>
          <w:p>
            <w:pPr>
              <w:rPr>
                <w:spacing w:val="-14"/>
                <w:szCs w:val="21"/>
              </w:rPr>
            </w:pPr>
          </w:p>
        </w:tc>
        <w:tc>
          <w:tcPr>
            <w:tcW w:w="822" w:type="dxa"/>
            <w:vAlign w:val="top"/>
          </w:tcPr>
          <w:p>
            <w:pPr>
              <w:rPr>
                <w:spacing w:val="-14"/>
                <w:szCs w:val="21"/>
              </w:rPr>
            </w:pPr>
          </w:p>
        </w:tc>
        <w:tc>
          <w:tcPr>
            <w:tcW w:w="742" w:type="dxa"/>
            <w:vAlign w:val="top"/>
          </w:tcPr>
          <w:p>
            <w:pPr>
              <w:rPr>
                <w:spacing w:val="-14"/>
                <w:szCs w:val="21"/>
              </w:rPr>
            </w:pPr>
          </w:p>
        </w:tc>
        <w:tc>
          <w:tcPr>
            <w:tcW w:w="935" w:type="dxa"/>
            <w:vAlign w:val="top"/>
          </w:tcPr>
          <w:p>
            <w:pPr>
              <w:rPr>
                <w:spacing w:val="-14"/>
                <w:szCs w:val="21"/>
              </w:rPr>
            </w:pPr>
          </w:p>
        </w:tc>
        <w:tc>
          <w:tcPr>
            <w:tcW w:w="670" w:type="dxa"/>
            <w:vAlign w:val="top"/>
          </w:tcPr>
          <w:p>
            <w:pPr>
              <w:rPr>
                <w:spacing w:val="-14"/>
                <w:szCs w:val="21"/>
              </w:rPr>
            </w:pPr>
          </w:p>
        </w:tc>
        <w:tc>
          <w:tcPr>
            <w:tcW w:w="760" w:type="dxa"/>
            <w:vAlign w:val="top"/>
          </w:tcPr>
          <w:p>
            <w:pPr>
              <w:rPr>
                <w:spacing w:val="-14"/>
                <w:szCs w:val="21"/>
              </w:rPr>
            </w:pPr>
          </w:p>
        </w:tc>
        <w:tc>
          <w:tcPr>
            <w:tcW w:w="840" w:type="dxa"/>
            <w:vAlign w:val="top"/>
          </w:tcPr>
          <w:p>
            <w:pPr>
              <w:rPr>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494" w:type="dxa"/>
            <w:vAlign w:val="top"/>
          </w:tcPr>
          <w:p>
            <w:pPr>
              <w:rPr>
                <w:spacing w:val="-14"/>
                <w:szCs w:val="21"/>
              </w:rPr>
            </w:pPr>
          </w:p>
        </w:tc>
        <w:tc>
          <w:tcPr>
            <w:tcW w:w="540" w:type="dxa"/>
            <w:vAlign w:val="top"/>
          </w:tcPr>
          <w:p>
            <w:pPr>
              <w:rPr>
                <w:spacing w:val="-14"/>
                <w:szCs w:val="21"/>
              </w:rPr>
            </w:pPr>
          </w:p>
        </w:tc>
        <w:tc>
          <w:tcPr>
            <w:tcW w:w="2171" w:type="dxa"/>
            <w:vAlign w:val="top"/>
          </w:tcPr>
          <w:p>
            <w:pPr>
              <w:rPr>
                <w:spacing w:val="-14"/>
                <w:szCs w:val="21"/>
              </w:rPr>
            </w:pPr>
          </w:p>
        </w:tc>
        <w:tc>
          <w:tcPr>
            <w:tcW w:w="828" w:type="dxa"/>
            <w:vAlign w:val="top"/>
          </w:tcPr>
          <w:p>
            <w:pPr>
              <w:rPr>
                <w:spacing w:val="-14"/>
                <w:szCs w:val="21"/>
              </w:rPr>
            </w:pPr>
          </w:p>
        </w:tc>
        <w:tc>
          <w:tcPr>
            <w:tcW w:w="934" w:type="dxa"/>
            <w:vAlign w:val="top"/>
          </w:tcPr>
          <w:p>
            <w:pPr>
              <w:rPr>
                <w:spacing w:val="-14"/>
                <w:szCs w:val="21"/>
              </w:rPr>
            </w:pPr>
          </w:p>
        </w:tc>
        <w:tc>
          <w:tcPr>
            <w:tcW w:w="880" w:type="dxa"/>
            <w:vAlign w:val="top"/>
          </w:tcPr>
          <w:p>
            <w:pPr>
              <w:rPr>
                <w:spacing w:val="-14"/>
                <w:szCs w:val="21"/>
              </w:rPr>
            </w:pPr>
          </w:p>
        </w:tc>
        <w:tc>
          <w:tcPr>
            <w:tcW w:w="864" w:type="dxa"/>
            <w:vAlign w:val="top"/>
          </w:tcPr>
          <w:p>
            <w:pPr>
              <w:rPr>
                <w:spacing w:val="-14"/>
                <w:szCs w:val="21"/>
              </w:rPr>
            </w:pPr>
          </w:p>
        </w:tc>
        <w:tc>
          <w:tcPr>
            <w:tcW w:w="804" w:type="dxa"/>
            <w:vAlign w:val="top"/>
          </w:tcPr>
          <w:p>
            <w:pPr>
              <w:rPr>
                <w:spacing w:val="-14"/>
                <w:szCs w:val="21"/>
              </w:rPr>
            </w:pPr>
          </w:p>
        </w:tc>
        <w:tc>
          <w:tcPr>
            <w:tcW w:w="655" w:type="dxa"/>
            <w:vAlign w:val="top"/>
          </w:tcPr>
          <w:p>
            <w:pPr>
              <w:rPr>
                <w:spacing w:val="-14"/>
                <w:szCs w:val="21"/>
              </w:rPr>
            </w:pPr>
          </w:p>
        </w:tc>
        <w:tc>
          <w:tcPr>
            <w:tcW w:w="1221" w:type="dxa"/>
            <w:vAlign w:val="top"/>
          </w:tcPr>
          <w:p>
            <w:pPr>
              <w:rPr>
                <w:spacing w:val="-14"/>
                <w:szCs w:val="21"/>
              </w:rPr>
            </w:pPr>
          </w:p>
        </w:tc>
        <w:tc>
          <w:tcPr>
            <w:tcW w:w="822" w:type="dxa"/>
            <w:vAlign w:val="top"/>
          </w:tcPr>
          <w:p>
            <w:pPr>
              <w:rPr>
                <w:spacing w:val="-14"/>
                <w:szCs w:val="21"/>
              </w:rPr>
            </w:pPr>
          </w:p>
        </w:tc>
        <w:tc>
          <w:tcPr>
            <w:tcW w:w="742" w:type="dxa"/>
            <w:vAlign w:val="top"/>
          </w:tcPr>
          <w:p>
            <w:pPr>
              <w:rPr>
                <w:spacing w:val="-14"/>
                <w:szCs w:val="21"/>
              </w:rPr>
            </w:pPr>
          </w:p>
        </w:tc>
        <w:tc>
          <w:tcPr>
            <w:tcW w:w="935" w:type="dxa"/>
            <w:vAlign w:val="top"/>
          </w:tcPr>
          <w:p>
            <w:pPr>
              <w:rPr>
                <w:spacing w:val="-14"/>
                <w:szCs w:val="21"/>
              </w:rPr>
            </w:pPr>
          </w:p>
        </w:tc>
        <w:tc>
          <w:tcPr>
            <w:tcW w:w="670" w:type="dxa"/>
            <w:vAlign w:val="top"/>
          </w:tcPr>
          <w:p>
            <w:pPr>
              <w:rPr>
                <w:spacing w:val="-14"/>
                <w:szCs w:val="21"/>
              </w:rPr>
            </w:pPr>
          </w:p>
        </w:tc>
        <w:tc>
          <w:tcPr>
            <w:tcW w:w="760" w:type="dxa"/>
            <w:vAlign w:val="top"/>
          </w:tcPr>
          <w:p>
            <w:pPr>
              <w:rPr>
                <w:spacing w:val="-14"/>
                <w:szCs w:val="21"/>
              </w:rPr>
            </w:pPr>
          </w:p>
        </w:tc>
        <w:tc>
          <w:tcPr>
            <w:tcW w:w="840" w:type="dxa"/>
            <w:vAlign w:val="top"/>
          </w:tcPr>
          <w:p>
            <w:pPr>
              <w:rPr>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494" w:type="dxa"/>
            <w:vAlign w:val="top"/>
          </w:tcPr>
          <w:p>
            <w:pPr>
              <w:rPr>
                <w:spacing w:val="-14"/>
                <w:szCs w:val="21"/>
              </w:rPr>
            </w:pPr>
          </w:p>
        </w:tc>
        <w:tc>
          <w:tcPr>
            <w:tcW w:w="540" w:type="dxa"/>
            <w:vAlign w:val="top"/>
          </w:tcPr>
          <w:p>
            <w:pPr>
              <w:rPr>
                <w:spacing w:val="-14"/>
                <w:szCs w:val="21"/>
              </w:rPr>
            </w:pPr>
          </w:p>
        </w:tc>
        <w:tc>
          <w:tcPr>
            <w:tcW w:w="2171" w:type="dxa"/>
            <w:vAlign w:val="top"/>
          </w:tcPr>
          <w:p>
            <w:pPr>
              <w:rPr>
                <w:spacing w:val="-14"/>
                <w:szCs w:val="21"/>
              </w:rPr>
            </w:pPr>
          </w:p>
        </w:tc>
        <w:tc>
          <w:tcPr>
            <w:tcW w:w="828" w:type="dxa"/>
            <w:vAlign w:val="top"/>
          </w:tcPr>
          <w:p>
            <w:pPr>
              <w:rPr>
                <w:spacing w:val="-14"/>
                <w:szCs w:val="21"/>
              </w:rPr>
            </w:pPr>
          </w:p>
        </w:tc>
        <w:tc>
          <w:tcPr>
            <w:tcW w:w="934" w:type="dxa"/>
            <w:vAlign w:val="top"/>
          </w:tcPr>
          <w:p>
            <w:pPr>
              <w:rPr>
                <w:spacing w:val="-14"/>
                <w:szCs w:val="21"/>
              </w:rPr>
            </w:pPr>
          </w:p>
        </w:tc>
        <w:tc>
          <w:tcPr>
            <w:tcW w:w="880" w:type="dxa"/>
            <w:vAlign w:val="top"/>
          </w:tcPr>
          <w:p>
            <w:pPr>
              <w:rPr>
                <w:spacing w:val="-14"/>
                <w:szCs w:val="21"/>
              </w:rPr>
            </w:pPr>
          </w:p>
        </w:tc>
        <w:tc>
          <w:tcPr>
            <w:tcW w:w="864" w:type="dxa"/>
            <w:vAlign w:val="top"/>
          </w:tcPr>
          <w:p>
            <w:pPr>
              <w:rPr>
                <w:spacing w:val="-14"/>
                <w:szCs w:val="21"/>
              </w:rPr>
            </w:pPr>
          </w:p>
        </w:tc>
        <w:tc>
          <w:tcPr>
            <w:tcW w:w="804" w:type="dxa"/>
            <w:vAlign w:val="top"/>
          </w:tcPr>
          <w:p>
            <w:pPr>
              <w:rPr>
                <w:spacing w:val="-14"/>
                <w:szCs w:val="21"/>
              </w:rPr>
            </w:pPr>
          </w:p>
        </w:tc>
        <w:tc>
          <w:tcPr>
            <w:tcW w:w="655" w:type="dxa"/>
            <w:vAlign w:val="top"/>
          </w:tcPr>
          <w:p>
            <w:pPr>
              <w:rPr>
                <w:spacing w:val="-14"/>
                <w:szCs w:val="21"/>
              </w:rPr>
            </w:pPr>
          </w:p>
        </w:tc>
        <w:tc>
          <w:tcPr>
            <w:tcW w:w="1221" w:type="dxa"/>
            <w:vAlign w:val="top"/>
          </w:tcPr>
          <w:p>
            <w:pPr>
              <w:rPr>
                <w:spacing w:val="-14"/>
                <w:szCs w:val="21"/>
              </w:rPr>
            </w:pPr>
          </w:p>
        </w:tc>
        <w:tc>
          <w:tcPr>
            <w:tcW w:w="822" w:type="dxa"/>
            <w:vAlign w:val="top"/>
          </w:tcPr>
          <w:p>
            <w:pPr>
              <w:rPr>
                <w:spacing w:val="-14"/>
                <w:szCs w:val="21"/>
              </w:rPr>
            </w:pPr>
          </w:p>
        </w:tc>
        <w:tc>
          <w:tcPr>
            <w:tcW w:w="742" w:type="dxa"/>
            <w:vAlign w:val="top"/>
          </w:tcPr>
          <w:p>
            <w:pPr>
              <w:rPr>
                <w:spacing w:val="-14"/>
                <w:szCs w:val="21"/>
              </w:rPr>
            </w:pPr>
          </w:p>
        </w:tc>
        <w:tc>
          <w:tcPr>
            <w:tcW w:w="935" w:type="dxa"/>
            <w:vAlign w:val="top"/>
          </w:tcPr>
          <w:p>
            <w:pPr>
              <w:rPr>
                <w:spacing w:val="-14"/>
                <w:szCs w:val="21"/>
              </w:rPr>
            </w:pPr>
          </w:p>
        </w:tc>
        <w:tc>
          <w:tcPr>
            <w:tcW w:w="670" w:type="dxa"/>
            <w:vAlign w:val="top"/>
          </w:tcPr>
          <w:p>
            <w:pPr>
              <w:rPr>
                <w:spacing w:val="-14"/>
                <w:szCs w:val="21"/>
              </w:rPr>
            </w:pPr>
          </w:p>
        </w:tc>
        <w:tc>
          <w:tcPr>
            <w:tcW w:w="760" w:type="dxa"/>
            <w:vAlign w:val="top"/>
          </w:tcPr>
          <w:p>
            <w:pPr>
              <w:rPr>
                <w:spacing w:val="-14"/>
                <w:szCs w:val="21"/>
              </w:rPr>
            </w:pPr>
          </w:p>
        </w:tc>
        <w:tc>
          <w:tcPr>
            <w:tcW w:w="840" w:type="dxa"/>
            <w:vAlign w:val="top"/>
          </w:tcPr>
          <w:p>
            <w:pPr>
              <w:rPr>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494" w:type="dxa"/>
            <w:vAlign w:val="top"/>
          </w:tcPr>
          <w:p>
            <w:pPr>
              <w:rPr>
                <w:spacing w:val="-14"/>
                <w:szCs w:val="21"/>
              </w:rPr>
            </w:pPr>
          </w:p>
        </w:tc>
        <w:tc>
          <w:tcPr>
            <w:tcW w:w="540" w:type="dxa"/>
            <w:vAlign w:val="top"/>
          </w:tcPr>
          <w:p>
            <w:pPr>
              <w:rPr>
                <w:spacing w:val="-14"/>
                <w:szCs w:val="21"/>
              </w:rPr>
            </w:pPr>
          </w:p>
        </w:tc>
        <w:tc>
          <w:tcPr>
            <w:tcW w:w="2171" w:type="dxa"/>
            <w:vAlign w:val="top"/>
          </w:tcPr>
          <w:p>
            <w:pPr>
              <w:rPr>
                <w:spacing w:val="-14"/>
                <w:szCs w:val="21"/>
              </w:rPr>
            </w:pPr>
          </w:p>
        </w:tc>
        <w:tc>
          <w:tcPr>
            <w:tcW w:w="828" w:type="dxa"/>
            <w:vAlign w:val="top"/>
          </w:tcPr>
          <w:p>
            <w:pPr>
              <w:rPr>
                <w:spacing w:val="-14"/>
                <w:szCs w:val="21"/>
              </w:rPr>
            </w:pPr>
          </w:p>
        </w:tc>
        <w:tc>
          <w:tcPr>
            <w:tcW w:w="934" w:type="dxa"/>
            <w:vAlign w:val="top"/>
          </w:tcPr>
          <w:p>
            <w:pPr>
              <w:rPr>
                <w:spacing w:val="-14"/>
                <w:szCs w:val="21"/>
              </w:rPr>
            </w:pPr>
          </w:p>
        </w:tc>
        <w:tc>
          <w:tcPr>
            <w:tcW w:w="880" w:type="dxa"/>
            <w:vAlign w:val="top"/>
          </w:tcPr>
          <w:p>
            <w:pPr>
              <w:rPr>
                <w:spacing w:val="-14"/>
                <w:szCs w:val="21"/>
              </w:rPr>
            </w:pPr>
          </w:p>
        </w:tc>
        <w:tc>
          <w:tcPr>
            <w:tcW w:w="864" w:type="dxa"/>
            <w:vAlign w:val="top"/>
          </w:tcPr>
          <w:p>
            <w:pPr>
              <w:rPr>
                <w:spacing w:val="-14"/>
                <w:szCs w:val="21"/>
              </w:rPr>
            </w:pPr>
          </w:p>
        </w:tc>
        <w:tc>
          <w:tcPr>
            <w:tcW w:w="804" w:type="dxa"/>
            <w:vAlign w:val="top"/>
          </w:tcPr>
          <w:p>
            <w:pPr>
              <w:rPr>
                <w:spacing w:val="-14"/>
                <w:szCs w:val="21"/>
              </w:rPr>
            </w:pPr>
          </w:p>
        </w:tc>
        <w:tc>
          <w:tcPr>
            <w:tcW w:w="655" w:type="dxa"/>
            <w:vAlign w:val="top"/>
          </w:tcPr>
          <w:p>
            <w:pPr>
              <w:rPr>
                <w:spacing w:val="-14"/>
                <w:szCs w:val="21"/>
              </w:rPr>
            </w:pPr>
          </w:p>
        </w:tc>
        <w:tc>
          <w:tcPr>
            <w:tcW w:w="1221" w:type="dxa"/>
            <w:vAlign w:val="top"/>
          </w:tcPr>
          <w:p>
            <w:pPr>
              <w:rPr>
                <w:spacing w:val="-14"/>
                <w:szCs w:val="21"/>
              </w:rPr>
            </w:pPr>
          </w:p>
        </w:tc>
        <w:tc>
          <w:tcPr>
            <w:tcW w:w="822" w:type="dxa"/>
            <w:vAlign w:val="top"/>
          </w:tcPr>
          <w:p>
            <w:pPr>
              <w:rPr>
                <w:spacing w:val="-14"/>
                <w:szCs w:val="21"/>
              </w:rPr>
            </w:pPr>
          </w:p>
        </w:tc>
        <w:tc>
          <w:tcPr>
            <w:tcW w:w="742" w:type="dxa"/>
            <w:vAlign w:val="top"/>
          </w:tcPr>
          <w:p>
            <w:pPr>
              <w:rPr>
                <w:spacing w:val="-14"/>
                <w:szCs w:val="21"/>
              </w:rPr>
            </w:pPr>
          </w:p>
        </w:tc>
        <w:tc>
          <w:tcPr>
            <w:tcW w:w="935" w:type="dxa"/>
            <w:vAlign w:val="top"/>
          </w:tcPr>
          <w:p>
            <w:pPr>
              <w:rPr>
                <w:spacing w:val="-14"/>
                <w:szCs w:val="21"/>
              </w:rPr>
            </w:pPr>
          </w:p>
        </w:tc>
        <w:tc>
          <w:tcPr>
            <w:tcW w:w="670" w:type="dxa"/>
            <w:vAlign w:val="top"/>
          </w:tcPr>
          <w:p>
            <w:pPr>
              <w:rPr>
                <w:spacing w:val="-14"/>
                <w:szCs w:val="21"/>
              </w:rPr>
            </w:pPr>
          </w:p>
        </w:tc>
        <w:tc>
          <w:tcPr>
            <w:tcW w:w="760" w:type="dxa"/>
            <w:vAlign w:val="top"/>
          </w:tcPr>
          <w:p>
            <w:pPr>
              <w:rPr>
                <w:spacing w:val="-14"/>
                <w:szCs w:val="21"/>
              </w:rPr>
            </w:pPr>
          </w:p>
        </w:tc>
        <w:tc>
          <w:tcPr>
            <w:tcW w:w="840" w:type="dxa"/>
            <w:vAlign w:val="top"/>
          </w:tcPr>
          <w:p>
            <w:pPr>
              <w:rPr>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494" w:type="dxa"/>
            <w:vAlign w:val="top"/>
          </w:tcPr>
          <w:p>
            <w:pPr>
              <w:rPr>
                <w:spacing w:val="-14"/>
                <w:szCs w:val="21"/>
              </w:rPr>
            </w:pPr>
          </w:p>
        </w:tc>
        <w:tc>
          <w:tcPr>
            <w:tcW w:w="540" w:type="dxa"/>
            <w:vAlign w:val="top"/>
          </w:tcPr>
          <w:p>
            <w:pPr>
              <w:rPr>
                <w:spacing w:val="-14"/>
                <w:szCs w:val="21"/>
              </w:rPr>
            </w:pPr>
          </w:p>
        </w:tc>
        <w:tc>
          <w:tcPr>
            <w:tcW w:w="2171" w:type="dxa"/>
            <w:vAlign w:val="top"/>
          </w:tcPr>
          <w:p>
            <w:pPr>
              <w:rPr>
                <w:spacing w:val="-14"/>
                <w:szCs w:val="21"/>
              </w:rPr>
            </w:pPr>
          </w:p>
        </w:tc>
        <w:tc>
          <w:tcPr>
            <w:tcW w:w="828" w:type="dxa"/>
            <w:vAlign w:val="top"/>
          </w:tcPr>
          <w:p>
            <w:pPr>
              <w:rPr>
                <w:spacing w:val="-14"/>
                <w:szCs w:val="21"/>
              </w:rPr>
            </w:pPr>
          </w:p>
        </w:tc>
        <w:tc>
          <w:tcPr>
            <w:tcW w:w="934" w:type="dxa"/>
            <w:vAlign w:val="top"/>
          </w:tcPr>
          <w:p>
            <w:pPr>
              <w:rPr>
                <w:spacing w:val="-14"/>
                <w:szCs w:val="21"/>
              </w:rPr>
            </w:pPr>
          </w:p>
        </w:tc>
        <w:tc>
          <w:tcPr>
            <w:tcW w:w="880" w:type="dxa"/>
            <w:vAlign w:val="top"/>
          </w:tcPr>
          <w:p>
            <w:pPr>
              <w:rPr>
                <w:spacing w:val="-14"/>
                <w:szCs w:val="21"/>
              </w:rPr>
            </w:pPr>
          </w:p>
        </w:tc>
        <w:tc>
          <w:tcPr>
            <w:tcW w:w="864" w:type="dxa"/>
            <w:vAlign w:val="top"/>
          </w:tcPr>
          <w:p>
            <w:pPr>
              <w:rPr>
                <w:spacing w:val="-14"/>
                <w:szCs w:val="21"/>
              </w:rPr>
            </w:pPr>
          </w:p>
        </w:tc>
        <w:tc>
          <w:tcPr>
            <w:tcW w:w="804" w:type="dxa"/>
            <w:vAlign w:val="top"/>
          </w:tcPr>
          <w:p>
            <w:pPr>
              <w:rPr>
                <w:spacing w:val="-14"/>
                <w:szCs w:val="21"/>
              </w:rPr>
            </w:pPr>
          </w:p>
        </w:tc>
        <w:tc>
          <w:tcPr>
            <w:tcW w:w="655" w:type="dxa"/>
            <w:vAlign w:val="top"/>
          </w:tcPr>
          <w:p>
            <w:pPr>
              <w:rPr>
                <w:spacing w:val="-14"/>
                <w:szCs w:val="21"/>
              </w:rPr>
            </w:pPr>
          </w:p>
        </w:tc>
        <w:tc>
          <w:tcPr>
            <w:tcW w:w="1221" w:type="dxa"/>
            <w:vAlign w:val="top"/>
          </w:tcPr>
          <w:p>
            <w:pPr>
              <w:rPr>
                <w:spacing w:val="-14"/>
                <w:szCs w:val="21"/>
              </w:rPr>
            </w:pPr>
          </w:p>
        </w:tc>
        <w:tc>
          <w:tcPr>
            <w:tcW w:w="822" w:type="dxa"/>
            <w:vAlign w:val="top"/>
          </w:tcPr>
          <w:p>
            <w:pPr>
              <w:rPr>
                <w:spacing w:val="-14"/>
                <w:szCs w:val="21"/>
              </w:rPr>
            </w:pPr>
          </w:p>
        </w:tc>
        <w:tc>
          <w:tcPr>
            <w:tcW w:w="742" w:type="dxa"/>
            <w:vAlign w:val="top"/>
          </w:tcPr>
          <w:p>
            <w:pPr>
              <w:rPr>
                <w:spacing w:val="-14"/>
                <w:szCs w:val="21"/>
              </w:rPr>
            </w:pPr>
          </w:p>
        </w:tc>
        <w:tc>
          <w:tcPr>
            <w:tcW w:w="935" w:type="dxa"/>
            <w:vAlign w:val="top"/>
          </w:tcPr>
          <w:p>
            <w:pPr>
              <w:rPr>
                <w:spacing w:val="-14"/>
                <w:szCs w:val="21"/>
              </w:rPr>
            </w:pPr>
          </w:p>
        </w:tc>
        <w:tc>
          <w:tcPr>
            <w:tcW w:w="670" w:type="dxa"/>
            <w:vAlign w:val="top"/>
          </w:tcPr>
          <w:p>
            <w:pPr>
              <w:rPr>
                <w:spacing w:val="-14"/>
                <w:szCs w:val="21"/>
              </w:rPr>
            </w:pPr>
          </w:p>
        </w:tc>
        <w:tc>
          <w:tcPr>
            <w:tcW w:w="760" w:type="dxa"/>
            <w:vAlign w:val="top"/>
          </w:tcPr>
          <w:p>
            <w:pPr>
              <w:rPr>
                <w:spacing w:val="-14"/>
                <w:szCs w:val="21"/>
              </w:rPr>
            </w:pPr>
          </w:p>
        </w:tc>
        <w:tc>
          <w:tcPr>
            <w:tcW w:w="840" w:type="dxa"/>
            <w:vAlign w:val="top"/>
          </w:tcPr>
          <w:p>
            <w:pPr>
              <w:rPr>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494" w:type="dxa"/>
            <w:vAlign w:val="top"/>
          </w:tcPr>
          <w:p>
            <w:pPr>
              <w:rPr>
                <w:spacing w:val="-14"/>
                <w:szCs w:val="21"/>
              </w:rPr>
            </w:pPr>
          </w:p>
        </w:tc>
        <w:tc>
          <w:tcPr>
            <w:tcW w:w="540" w:type="dxa"/>
            <w:vAlign w:val="top"/>
          </w:tcPr>
          <w:p>
            <w:pPr>
              <w:rPr>
                <w:spacing w:val="-14"/>
                <w:szCs w:val="21"/>
              </w:rPr>
            </w:pPr>
          </w:p>
        </w:tc>
        <w:tc>
          <w:tcPr>
            <w:tcW w:w="2171" w:type="dxa"/>
            <w:vAlign w:val="top"/>
          </w:tcPr>
          <w:p>
            <w:pPr>
              <w:rPr>
                <w:spacing w:val="-14"/>
                <w:szCs w:val="21"/>
              </w:rPr>
            </w:pPr>
          </w:p>
        </w:tc>
        <w:tc>
          <w:tcPr>
            <w:tcW w:w="828" w:type="dxa"/>
            <w:vAlign w:val="top"/>
          </w:tcPr>
          <w:p>
            <w:pPr>
              <w:rPr>
                <w:spacing w:val="-14"/>
                <w:szCs w:val="21"/>
              </w:rPr>
            </w:pPr>
          </w:p>
        </w:tc>
        <w:tc>
          <w:tcPr>
            <w:tcW w:w="934" w:type="dxa"/>
            <w:vAlign w:val="top"/>
          </w:tcPr>
          <w:p>
            <w:pPr>
              <w:rPr>
                <w:spacing w:val="-14"/>
                <w:szCs w:val="21"/>
              </w:rPr>
            </w:pPr>
          </w:p>
        </w:tc>
        <w:tc>
          <w:tcPr>
            <w:tcW w:w="880" w:type="dxa"/>
            <w:vAlign w:val="top"/>
          </w:tcPr>
          <w:p>
            <w:pPr>
              <w:rPr>
                <w:spacing w:val="-14"/>
                <w:szCs w:val="21"/>
              </w:rPr>
            </w:pPr>
          </w:p>
        </w:tc>
        <w:tc>
          <w:tcPr>
            <w:tcW w:w="864" w:type="dxa"/>
            <w:vAlign w:val="top"/>
          </w:tcPr>
          <w:p>
            <w:pPr>
              <w:rPr>
                <w:spacing w:val="-14"/>
                <w:szCs w:val="21"/>
              </w:rPr>
            </w:pPr>
          </w:p>
        </w:tc>
        <w:tc>
          <w:tcPr>
            <w:tcW w:w="804" w:type="dxa"/>
            <w:vAlign w:val="top"/>
          </w:tcPr>
          <w:p>
            <w:pPr>
              <w:rPr>
                <w:spacing w:val="-14"/>
                <w:szCs w:val="21"/>
              </w:rPr>
            </w:pPr>
          </w:p>
        </w:tc>
        <w:tc>
          <w:tcPr>
            <w:tcW w:w="655" w:type="dxa"/>
            <w:vAlign w:val="top"/>
          </w:tcPr>
          <w:p>
            <w:pPr>
              <w:rPr>
                <w:spacing w:val="-14"/>
                <w:szCs w:val="21"/>
              </w:rPr>
            </w:pPr>
          </w:p>
        </w:tc>
        <w:tc>
          <w:tcPr>
            <w:tcW w:w="1221" w:type="dxa"/>
            <w:vAlign w:val="top"/>
          </w:tcPr>
          <w:p>
            <w:pPr>
              <w:rPr>
                <w:spacing w:val="-14"/>
                <w:szCs w:val="21"/>
              </w:rPr>
            </w:pPr>
          </w:p>
        </w:tc>
        <w:tc>
          <w:tcPr>
            <w:tcW w:w="822" w:type="dxa"/>
            <w:vAlign w:val="top"/>
          </w:tcPr>
          <w:p>
            <w:pPr>
              <w:rPr>
                <w:spacing w:val="-14"/>
                <w:szCs w:val="21"/>
              </w:rPr>
            </w:pPr>
          </w:p>
        </w:tc>
        <w:tc>
          <w:tcPr>
            <w:tcW w:w="742" w:type="dxa"/>
            <w:vAlign w:val="top"/>
          </w:tcPr>
          <w:p>
            <w:pPr>
              <w:rPr>
                <w:spacing w:val="-14"/>
                <w:szCs w:val="21"/>
              </w:rPr>
            </w:pPr>
          </w:p>
        </w:tc>
        <w:tc>
          <w:tcPr>
            <w:tcW w:w="935" w:type="dxa"/>
            <w:vAlign w:val="top"/>
          </w:tcPr>
          <w:p>
            <w:pPr>
              <w:rPr>
                <w:spacing w:val="-14"/>
                <w:szCs w:val="21"/>
              </w:rPr>
            </w:pPr>
          </w:p>
        </w:tc>
        <w:tc>
          <w:tcPr>
            <w:tcW w:w="670" w:type="dxa"/>
            <w:vAlign w:val="top"/>
          </w:tcPr>
          <w:p>
            <w:pPr>
              <w:rPr>
                <w:spacing w:val="-14"/>
                <w:szCs w:val="21"/>
              </w:rPr>
            </w:pPr>
          </w:p>
        </w:tc>
        <w:tc>
          <w:tcPr>
            <w:tcW w:w="760" w:type="dxa"/>
            <w:vAlign w:val="top"/>
          </w:tcPr>
          <w:p>
            <w:pPr>
              <w:rPr>
                <w:spacing w:val="-14"/>
                <w:szCs w:val="21"/>
              </w:rPr>
            </w:pPr>
          </w:p>
        </w:tc>
        <w:tc>
          <w:tcPr>
            <w:tcW w:w="840" w:type="dxa"/>
            <w:vAlign w:val="top"/>
          </w:tcPr>
          <w:p>
            <w:pPr>
              <w:rPr>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494" w:type="dxa"/>
            <w:vAlign w:val="top"/>
          </w:tcPr>
          <w:p>
            <w:pPr>
              <w:rPr>
                <w:spacing w:val="-14"/>
                <w:szCs w:val="21"/>
              </w:rPr>
            </w:pPr>
          </w:p>
        </w:tc>
        <w:tc>
          <w:tcPr>
            <w:tcW w:w="540" w:type="dxa"/>
            <w:vAlign w:val="top"/>
          </w:tcPr>
          <w:p>
            <w:pPr>
              <w:rPr>
                <w:spacing w:val="-14"/>
                <w:szCs w:val="21"/>
              </w:rPr>
            </w:pPr>
          </w:p>
        </w:tc>
        <w:tc>
          <w:tcPr>
            <w:tcW w:w="2171" w:type="dxa"/>
            <w:vAlign w:val="top"/>
          </w:tcPr>
          <w:p>
            <w:pPr>
              <w:rPr>
                <w:spacing w:val="-14"/>
                <w:szCs w:val="21"/>
              </w:rPr>
            </w:pPr>
          </w:p>
        </w:tc>
        <w:tc>
          <w:tcPr>
            <w:tcW w:w="828" w:type="dxa"/>
            <w:vAlign w:val="top"/>
          </w:tcPr>
          <w:p>
            <w:pPr>
              <w:rPr>
                <w:spacing w:val="-14"/>
                <w:szCs w:val="21"/>
              </w:rPr>
            </w:pPr>
          </w:p>
        </w:tc>
        <w:tc>
          <w:tcPr>
            <w:tcW w:w="934" w:type="dxa"/>
            <w:vAlign w:val="top"/>
          </w:tcPr>
          <w:p>
            <w:pPr>
              <w:rPr>
                <w:spacing w:val="-14"/>
                <w:szCs w:val="21"/>
              </w:rPr>
            </w:pPr>
          </w:p>
        </w:tc>
        <w:tc>
          <w:tcPr>
            <w:tcW w:w="880" w:type="dxa"/>
            <w:vAlign w:val="top"/>
          </w:tcPr>
          <w:p>
            <w:pPr>
              <w:rPr>
                <w:spacing w:val="-14"/>
                <w:szCs w:val="21"/>
              </w:rPr>
            </w:pPr>
          </w:p>
        </w:tc>
        <w:tc>
          <w:tcPr>
            <w:tcW w:w="864" w:type="dxa"/>
            <w:vAlign w:val="top"/>
          </w:tcPr>
          <w:p>
            <w:pPr>
              <w:rPr>
                <w:spacing w:val="-14"/>
                <w:szCs w:val="21"/>
              </w:rPr>
            </w:pPr>
          </w:p>
        </w:tc>
        <w:tc>
          <w:tcPr>
            <w:tcW w:w="804" w:type="dxa"/>
            <w:vAlign w:val="top"/>
          </w:tcPr>
          <w:p>
            <w:pPr>
              <w:rPr>
                <w:spacing w:val="-14"/>
                <w:szCs w:val="21"/>
              </w:rPr>
            </w:pPr>
          </w:p>
        </w:tc>
        <w:tc>
          <w:tcPr>
            <w:tcW w:w="655" w:type="dxa"/>
            <w:vAlign w:val="top"/>
          </w:tcPr>
          <w:p>
            <w:pPr>
              <w:rPr>
                <w:spacing w:val="-14"/>
                <w:szCs w:val="21"/>
              </w:rPr>
            </w:pPr>
          </w:p>
        </w:tc>
        <w:tc>
          <w:tcPr>
            <w:tcW w:w="1221" w:type="dxa"/>
            <w:vAlign w:val="top"/>
          </w:tcPr>
          <w:p>
            <w:pPr>
              <w:rPr>
                <w:spacing w:val="-14"/>
                <w:szCs w:val="21"/>
              </w:rPr>
            </w:pPr>
          </w:p>
        </w:tc>
        <w:tc>
          <w:tcPr>
            <w:tcW w:w="822" w:type="dxa"/>
            <w:vAlign w:val="top"/>
          </w:tcPr>
          <w:p>
            <w:pPr>
              <w:rPr>
                <w:spacing w:val="-14"/>
                <w:szCs w:val="21"/>
              </w:rPr>
            </w:pPr>
          </w:p>
        </w:tc>
        <w:tc>
          <w:tcPr>
            <w:tcW w:w="742" w:type="dxa"/>
            <w:vAlign w:val="top"/>
          </w:tcPr>
          <w:p>
            <w:pPr>
              <w:rPr>
                <w:spacing w:val="-14"/>
                <w:szCs w:val="21"/>
              </w:rPr>
            </w:pPr>
          </w:p>
        </w:tc>
        <w:tc>
          <w:tcPr>
            <w:tcW w:w="935" w:type="dxa"/>
            <w:vAlign w:val="top"/>
          </w:tcPr>
          <w:p>
            <w:pPr>
              <w:rPr>
                <w:spacing w:val="-14"/>
                <w:szCs w:val="21"/>
              </w:rPr>
            </w:pPr>
          </w:p>
        </w:tc>
        <w:tc>
          <w:tcPr>
            <w:tcW w:w="670" w:type="dxa"/>
            <w:vAlign w:val="top"/>
          </w:tcPr>
          <w:p>
            <w:pPr>
              <w:rPr>
                <w:spacing w:val="-14"/>
                <w:szCs w:val="21"/>
              </w:rPr>
            </w:pPr>
          </w:p>
        </w:tc>
        <w:tc>
          <w:tcPr>
            <w:tcW w:w="760" w:type="dxa"/>
            <w:vAlign w:val="top"/>
          </w:tcPr>
          <w:p>
            <w:pPr>
              <w:rPr>
                <w:spacing w:val="-14"/>
                <w:szCs w:val="21"/>
              </w:rPr>
            </w:pPr>
          </w:p>
        </w:tc>
        <w:tc>
          <w:tcPr>
            <w:tcW w:w="840" w:type="dxa"/>
            <w:vAlign w:val="top"/>
          </w:tcPr>
          <w:p>
            <w:pPr>
              <w:rPr>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494" w:type="dxa"/>
            <w:vAlign w:val="top"/>
          </w:tcPr>
          <w:p>
            <w:pPr>
              <w:rPr>
                <w:spacing w:val="-14"/>
                <w:szCs w:val="21"/>
              </w:rPr>
            </w:pPr>
          </w:p>
        </w:tc>
        <w:tc>
          <w:tcPr>
            <w:tcW w:w="540" w:type="dxa"/>
            <w:vAlign w:val="top"/>
          </w:tcPr>
          <w:p>
            <w:pPr>
              <w:rPr>
                <w:spacing w:val="-14"/>
                <w:szCs w:val="21"/>
              </w:rPr>
            </w:pPr>
          </w:p>
        </w:tc>
        <w:tc>
          <w:tcPr>
            <w:tcW w:w="2171" w:type="dxa"/>
            <w:vAlign w:val="top"/>
          </w:tcPr>
          <w:p>
            <w:pPr>
              <w:rPr>
                <w:spacing w:val="-14"/>
                <w:szCs w:val="21"/>
              </w:rPr>
            </w:pPr>
          </w:p>
        </w:tc>
        <w:tc>
          <w:tcPr>
            <w:tcW w:w="828" w:type="dxa"/>
            <w:vAlign w:val="top"/>
          </w:tcPr>
          <w:p>
            <w:pPr>
              <w:rPr>
                <w:spacing w:val="-14"/>
                <w:szCs w:val="21"/>
              </w:rPr>
            </w:pPr>
          </w:p>
        </w:tc>
        <w:tc>
          <w:tcPr>
            <w:tcW w:w="934" w:type="dxa"/>
            <w:vAlign w:val="top"/>
          </w:tcPr>
          <w:p>
            <w:pPr>
              <w:rPr>
                <w:spacing w:val="-14"/>
                <w:szCs w:val="21"/>
              </w:rPr>
            </w:pPr>
          </w:p>
        </w:tc>
        <w:tc>
          <w:tcPr>
            <w:tcW w:w="880" w:type="dxa"/>
            <w:vAlign w:val="top"/>
          </w:tcPr>
          <w:p>
            <w:pPr>
              <w:rPr>
                <w:spacing w:val="-14"/>
                <w:szCs w:val="21"/>
              </w:rPr>
            </w:pPr>
          </w:p>
        </w:tc>
        <w:tc>
          <w:tcPr>
            <w:tcW w:w="864" w:type="dxa"/>
            <w:vAlign w:val="top"/>
          </w:tcPr>
          <w:p>
            <w:pPr>
              <w:rPr>
                <w:spacing w:val="-14"/>
                <w:szCs w:val="21"/>
              </w:rPr>
            </w:pPr>
          </w:p>
        </w:tc>
        <w:tc>
          <w:tcPr>
            <w:tcW w:w="804" w:type="dxa"/>
            <w:vAlign w:val="top"/>
          </w:tcPr>
          <w:p>
            <w:pPr>
              <w:rPr>
                <w:spacing w:val="-14"/>
                <w:szCs w:val="21"/>
              </w:rPr>
            </w:pPr>
          </w:p>
        </w:tc>
        <w:tc>
          <w:tcPr>
            <w:tcW w:w="655" w:type="dxa"/>
            <w:vAlign w:val="top"/>
          </w:tcPr>
          <w:p>
            <w:pPr>
              <w:rPr>
                <w:spacing w:val="-14"/>
                <w:szCs w:val="21"/>
              </w:rPr>
            </w:pPr>
          </w:p>
        </w:tc>
        <w:tc>
          <w:tcPr>
            <w:tcW w:w="1221" w:type="dxa"/>
            <w:vAlign w:val="top"/>
          </w:tcPr>
          <w:p>
            <w:pPr>
              <w:rPr>
                <w:spacing w:val="-14"/>
                <w:szCs w:val="21"/>
              </w:rPr>
            </w:pPr>
          </w:p>
        </w:tc>
        <w:tc>
          <w:tcPr>
            <w:tcW w:w="822" w:type="dxa"/>
            <w:vAlign w:val="top"/>
          </w:tcPr>
          <w:p>
            <w:pPr>
              <w:rPr>
                <w:spacing w:val="-14"/>
                <w:szCs w:val="21"/>
              </w:rPr>
            </w:pPr>
          </w:p>
        </w:tc>
        <w:tc>
          <w:tcPr>
            <w:tcW w:w="742" w:type="dxa"/>
            <w:vAlign w:val="top"/>
          </w:tcPr>
          <w:p>
            <w:pPr>
              <w:rPr>
                <w:spacing w:val="-14"/>
                <w:szCs w:val="21"/>
              </w:rPr>
            </w:pPr>
          </w:p>
        </w:tc>
        <w:tc>
          <w:tcPr>
            <w:tcW w:w="935" w:type="dxa"/>
            <w:vAlign w:val="top"/>
          </w:tcPr>
          <w:p>
            <w:pPr>
              <w:rPr>
                <w:spacing w:val="-14"/>
                <w:szCs w:val="21"/>
              </w:rPr>
            </w:pPr>
          </w:p>
        </w:tc>
        <w:tc>
          <w:tcPr>
            <w:tcW w:w="670" w:type="dxa"/>
            <w:vAlign w:val="top"/>
          </w:tcPr>
          <w:p>
            <w:pPr>
              <w:rPr>
                <w:spacing w:val="-14"/>
                <w:szCs w:val="21"/>
              </w:rPr>
            </w:pPr>
          </w:p>
        </w:tc>
        <w:tc>
          <w:tcPr>
            <w:tcW w:w="760" w:type="dxa"/>
            <w:vAlign w:val="top"/>
          </w:tcPr>
          <w:p>
            <w:pPr>
              <w:rPr>
                <w:spacing w:val="-14"/>
                <w:szCs w:val="21"/>
              </w:rPr>
            </w:pPr>
          </w:p>
        </w:tc>
        <w:tc>
          <w:tcPr>
            <w:tcW w:w="840" w:type="dxa"/>
            <w:vAlign w:val="top"/>
          </w:tcPr>
          <w:p>
            <w:pPr>
              <w:rPr>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494" w:type="dxa"/>
            <w:vAlign w:val="top"/>
          </w:tcPr>
          <w:p>
            <w:pPr>
              <w:rPr>
                <w:spacing w:val="-14"/>
                <w:szCs w:val="21"/>
              </w:rPr>
            </w:pPr>
          </w:p>
        </w:tc>
        <w:tc>
          <w:tcPr>
            <w:tcW w:w="540" w:type="dxa"/>
            <w:vAlign w:val="top"/>
          </w:tcPr>
          <w:p>
            <w:pPr>
              <w:rPr>
                <w:spacing w:val="-14"/>
                <w:szCs w:val="21"/>
              </w:rPr>
            </w:pPr>
          </w:p>
        </w:tc>
        <w:tc>
          <w:tcPr>
            <w:tcW w:w="2171" w:type="dxa"/>
            <w:vAlign w:val="top"/>
          </w:tcPr>
          <w:p>
            <w:pPr>
              <w:rPr>
                <w:spacing w:val="-14"/>
                <w:szCs w:val="21"/>
              </w:rPr>
            </w:pPr>
          </w:p>
        </w:tc>
        <w:tc>
          <w:tcPr>
            <w:tcW w:w="828" w:type="dxa"/>
            <w:vAlign w:val="top"/>
          </w:tcPr>
          <w:p>
            <w:pPr>
              <w:rPr>
                <w:spacing w:val="-14"/>
                <w:szCs w:val="21"/>
              </w:rPr>
            </w:pPr>
          </w:p>
        </w:tc>
        <w:tc>
          <w:tcPr>
            <w:tcW w:w="934" w:type="dxa"/>
            <w:vAlign w:val="top"/>
          </w:tcPr>
          <w:p>
            <w:pPr>
              <w:rPr>
                <w:spacing w:val="-14"/>
                <w:szCs w:val="21"/>
              </w:rPr>
            </w:pPr>
          </w:p>
        </w:tc>
        <w:tc>
          <w:tcPr>
            <w:tcW w:w="880" w:type="dxa"/>
            <w:vAlign w:val="top"/>
          </w:tcPr>
          <w:p>
            <w:pPr>
              <w:rPr>
                <w:spacing w:val="-14"/>
                <w:szCs w:val="21"/>
              </w:rPr>
            </w:pPr>
          </w:p>
        </w:tc>
        <w:tc>
          <w:tcPr>
            <w:tcW w:w="864" w:type="dxa"/>
            <w:vAlign w:val="top"/>
          </w:tcPr>
          <w:p>
            <w:pPr>
              <w:rPr>
                <w:spacing w:val="-14"/>
                <w:szCs w:val="21"/>
              </w:rPr>
            </w:pPr>
          </w:p>
        </w:tc>
        <w:tc>
          <w:tcPr>
            <w:tcW w:w="804" w:type="dxa"/>
            <w:vAlign w:val="top"/>
          </w:tcPr>
          <w:p>
            <w:pPr>
              <w:rPr>
                <w:spacing w:val="-14"/>
                <w:szCs w:val="21"/>
              </w:rPr>
            </w:pPr>
          </w:p>
        </w:tc>
        <w:tc>
          <w:tcPr>
            <w:tcW w:w="655" w:type="dxa"/>
            <w:vAlign w:val="top"/>
          </w:tcPr>
          <w:p>
            <w:pPr>
              <w:rPr>
                <w:spacing w:val="-14"/>
                <w:szCs w:val="21"/>
              </w:rPr>
            </w:pPr>
          </w:p>
        </w:tc>
        <w:tc>
          <w:tcPr>
            <w:tcW w:w="1221" w:type="dxa"/>
            <w:vAlign w:val="top"/>
          </w:tcPr>
          <w:p>
            <w:pPr>
              <w:rPr>
                <w:spacing w:val="-14"/>
                <w:szCs w:val="21"/>
              </w:rPr>
            </w:pPr>
          </w:p>
        </w:tc>
        <w:tc>
          <w:tcPr>
            <w:tcW w:w="822" w:type="dxa"/>
            <w:vAlign w:val="top"/>
          </w:tcPr>
          <w:p>
            <w:pPr>
              <w:rPr>
                <w:spacing w:val="-14"/>
                <w:szCs w:val="21"/>
              </w:rPr>
            </w:pPr>
          </w:p>
        </w:tc>
        <w:tc>
          <w:tcPr>
            <w:tcW w:w="742" w:type="dxa"/>
            <w:vAlign w:val="top"/>
          </w:tcPr>
          <w:p>
            <w:pPr>
              <w:rPr>
                <w:spacing w:val="-14"/>
                <w:szCs w:val="21"/>
              </w:rPr>
            </w:pPr>
          </w:p>
        </w:tc>
        <w:tc>
          <w:tcPr>
            <w:tcW w:w="935" w:type="dxa"/>
            <w:vAlign w:val="top"/>
          </w:tcPr>
          <w:p>
            <w:pPr>
              <w:rPr>
                <w:spacing w:val="-14"/>
                <w:szCs w:val="21"/>
              </w:rPr>
            </w:pPr>
          </w:p>
        </w:tc>
        <w:tc>
          <w:tcPr>
            <w:tcW w:w="670" w:type="dxa"/>
            <w:vAlign w:val="top"/>
          </w:tcPr>
          <w:p>
            <w:pPr>
              <w:rPr>
                <w:spacing w:val="-14"/>
                <w:szCs w:val="21"/>
              </w:rPr>
            </w:pPr>
          </w:p>
        </w:tc>
        <w:tc>
          <w:tcPr>
            <w:tcW w:w="760" w:type="dxa"/>
            <w:vAlign w:val="top"/>
          </w:tcPr>
          <w:p>
            <w:pPr>
              <w:rPr>
                <w:spacing w:val="-14"/>
                <w:szCs w:val="21"/>
              </w:rPr>
            </w:pPr>
          </w:p>
        </w:tc>
        <w:tc>
          <w:tcPr>
            <w:tcW w:w="840" w:type="dxa"/>
            <w:vAlign w:val="top"/>
          </w:tcPr>
          <w:p>
            <w:pPr>
              <w:rPr>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494" w:type="dxa"/>
            <w:vAlign w:val="top"/>
          </w:tcPr>
          <w:p>
            <w:pPr>
              <w:rPr>
                <w:spacing w:val="-14"/>
                <w:szCs w:val="21"/>
              </w:rPr>
            </w:pPr>
          </w:p>
        </w:tc>
        <w:tc>
          <w:tcPr>
            <w:tcW w:w="540" w:type="dxa"/>
            <w:vAlign w:val="top"/>
          </w:tcPr>
          <w:p>
            <w:pPr>
              <w:rPr>
                <w:spacing w:val="-14"/>
                <w:szCs w:val="21"/>
              </w:rPr>
            </w:pPr>
          </w:p>
        </w:tc>
        <w:tc>
          <w:tcPr>
            <w:tcW w:w="2171" w:type="dxa"/>
            <w:vAlign w:val="top"/>
          </w:tcPr>
          <w:p>
            <w:pPr>
              <w:rPr>
                <w:spacing w:val="-14"/>
                <w:szCs w:val="21"/>
              </w:rPr>
            </w:pPr>
          </w:p>
        </w:tc>
        <w:tc>
          <w:tcPr>
            <w:tcW w:w="828" w:type="dxa"/>
            <w:vAlign w:val="top"/>
          </w:tcPr>
          <w:p>
            <w:pPr>
              <w:rPr>
                <w:spacing w:val="-14"/>
                <w:szCs w:val="21"/>
              </w:rPr>
            </w:pPr>
          </w:p>
        </w:tc>
        <w:tc>
          <w:tcPr>
            <w:tcW w:w="934" w:type="dxa"/>
            <w:vAlign w:val="top"/>
          </w:tcPr>
          <w:p>
            <w:pPr>
              <w:rPr>
                <w:spacing w:val="-14"/>
                <w:szCs w:val="21"/>
              </w:rPr>
            </w:pPr>
          </w:p>
        </w:tc>
        <w:tc>
          <w:tcPr>
            <w:tcW w:w="880" w:type="dxa"/>
            <w:vAlign w:val="top"/>
          </w:tcPr>
          <w:p>
            <w:pPr>
              <w:rPr>
                <w:spacing w:val="-14"/>
                <w:szCs w:val="21"/>
              </w:rPr>
            </w:pPr>
          </w:p>
        </w:tc>
        <w:tc>
          <w:tcPr>
            <w:tcW w:w="864" w:type="dxa"/>
            <w:vAlign w:val="top"/>
          </w:tcPr>
          <w:p>
            <w:pPr>
              <w:rPr>
                <w:spacing w:val="-14"/>
                <w:szCs w:val="21"/>
              </w:rPr>
            </w:pPr>
          </w:p>
        </w:tc>
        <w:tc>
          <w:tcPr>
            <w:tcW w:w="804" w:type="dxa"/>
            <w:vAlign w:val="top"/>
          </w:tcPr>
          <w:p>
            <w:pPr>
              <w:rPr>
                <w:spacing w:val="-14"/>
                <w:szCs w:val="21"/>
              </w:rPr>
            </w:pPr>
          </w:p>
        </w:tc>
        <w:tc>
          <w:tcPr>
            <w:tcW w:w="655" w:type="dxa"/>
            <w:vAlign w:val="top"/>
          </w:tcPr>
          <w:p>
            <w:pPr>
              <w:rPr>
                <w:spacing w:val="-14"/>
                <w:szCs w:val="21"/>
              </w:rPr>
            </w:pPr>
          </w:p>
        </w:tc>
        <w:tc>
          <w:tcPr>
            <w:tcW w:w="1221" w:type="dxa"/>
            <w:vAlign w:val="top"/>
          </w:tcPr>
          <w:p>
            <w:pPr>
              <w:rPr>
                <w:spacing w:val="-14"/>
                <w:szCs w:val="21"/>
              </w:rPr>
            </w:pPr>
          </w:p>
        </w:tc>
        <w:tc>
          <w:tcPr>
            <w:tcW w:w="822" w:type="dxa"/>
            <w:vAlign w:val="top"/>
          </w:tcPr>
          <w:p>
            <w:pPr>
              <w:rPr>
                <w:spacing w:val="-14"/>
                <w:szCs w:val="21"/>
              </w:rPr>
            </w:pPr>
          </w:p>
        </w:tc>
        <w:tc>
          <w:tcPr>
            <w:tcW w:w="742" w:type="dxa"/>
            <w:vAlign w:val="top"/>
          </w:tcPr>
          <w:p>
            <w:pPr>
              <w:rPr>
                <w:spacing w:val="-14"/>
                <w:szCs w:val="21"/>
              </w:rPr>
            </w:pPr>
          </w:p>
        </w:tc>
        <w:tc>
          <w:tcPr>
            <w:tcW w:w="935" w:type="dxa"/>
            <w:vAlign w:val="top"/>
          </w:tcPr>
          <w:p>
            <w:pPr>
              <w:rPr>
                <w:spacing w:val="-14"/>
                <w:szCs w:val="21"/>
              </w:rPr>
            </w:pPr>
          </w:p>
        </w:tc>
        <w:tc>
          <w:tcPr>
            <w:tcW w:w="670" w:type="dxa"/>
            <w:vAlign w:val="top"/>
          </w:tcPr>
          <w:p>
            <w:pPr>
              <w:rPr>
                <w:spacing w:val="-14"/>
                <w:szCs w:val="21"/>
              </w:rPr>
            </w:pPr>
          </w:p>
        </w:tc>
        <w:tc>
          <w:tcPr>
            <w:tcW w:w="760" w:type="dxa"/>
            <w:vAlign w:val="top"/>
          </w:tcPr>
          <w:p>
            <w:pPr>
              <w:rPr>
                <w:spacing w:val="-14"/>
                <w:szCs w:val="21"/>
              </w:rPr>
            </w:pPr>
          </w:p>
        </w:tc>
        <w:tc>
          <w:tcPr>
            <w:tcW w:w="840" w:type="dxa"/>
            <w:vAlign w:val="top"/>
          </w:tcPr>
          <w:p>
            <w:pPr>
              <w:rPr>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494" w:type="dxa"/>
            <w:vAlign w:val="top"/>
          </w:tcPr>
          <w:p>
            <w:pPr>
              <w:rPr>
                <w:spacing w:val="-14"/>
                <w:szCs w:val="21"/>
              </w:rPr>
            </w:pPr>
          </w:p>
        </w:tc>
        <w:tc>
          <w:tcPr>
            <w:tcW w:w="540" w:type="dxa"/>
            <w:vAlign w:val="top"/>
          </w:tcPr>
          <w:p>
            <w:pPr>
              <w:rPr>
                <w:spacing w:val="-14"/>
                <w:szCs w:val="21"/>
              </w:rPr>
            </w:pPr>
          </w:p>
        </w:tc>
        <w:tc>
          <w:tcPr>
            <w:tcW w:w="2171" w:type="dxa"/>
            <w:vAlign w:val="top"/>
          </w:tcPr>
          <w:p>
            <w:pPr>
              <w:rPr>
                <w:spacing w:val="-14"/>
                <w:szCs w:val="21"/>
              </w:rPr>
            </w:pPr>
          </w:p>
        </w:tc>
        <w:tc>
          <w:tcPr>
            <w:tcW w:w="828" w:type="dxa"/>
            <w:vAlign w:val="top"/>
          </w:tcPr>
          <w:p>
            <w:pPr>
              <w:rPr>
                <w:spacing w:val="-14"/>
                <w:szCs w:val="21"/>
              </w:rPr>
            </w:pPr>
          </w:p>
        </w:tc>
        <w:tc>
          <w:tcPr>
            <w:tcW w:w="934" w:type="dxa"/>
            <w:vAlign w:val="top"/>
          </w:tcPr>
          <w:p>
            <w:pPr>
              <w:rPr>
                <w:spacing w:val="-14"/>
                <w:szCs w:val="21"/>
              </w:rPr>
            </w:pPr>
          </w:p>
        </w:tc>
        <w:tc>
          <w:tcPr>
            <w:tcW w:w="880" w:type="dxa"/>
            <w:vAlign w:val="top"/>
          </w:tcPr>
          <w:p>
            <w:pPr>
              <w:rPr>
                <w:spacing w:val="-14"/>
                <w:szCs w:val="21"/>
              </w:rPr>
            </w:pPr>
          </w:p>
        </w:tc>
        <w:tc>
          <w:tcPr>
            <w:tcW w:w="864" w:type="dxa"/>
            <w:vAlign w:val="top"/>
          </w:tcPr>
          <w:p>
            <w:pPr>
              <w:rPr>
                <w:spacing w:val="-14"/>
                <w:szCs w:val="21"/>
              </w:rPr>
            </w:pPr>
          </w:p>
        </w:tc>
        <w:tc>
          <w:tcPr>
            <w:tcW w:w="804" w:type="dxa"/>
            <w:vAlign w:val="top"/>
          </w:tcPr>
          <w:p>
            <w:pPr>
              <w:rPr>
                <w:spacing w:val="-14"/>
                <w:szCs w:val="21"/>
              </w:rPr>
            </w:pPr>
          </w:p>
        </w:tc>
        <w:tc>
          <w:tcPr>
            <w:tcW w:w="655" w:type="dxa"/>
            <w:vAlign w:val="top"/>
          </w:tcPr>
          <w:p>
            <w:pPr>
              <w:rPr>
                <w:spacing w:val="-14"/>
                <w:szCs w:val="21"/>
              </w:rPr>
            </w:pPr>
          </w:p>
        </w:tc>
        <w:tc>
          <w:tcPr>
            <w:tcW w:w="1221" w:type="dxa"/>
            <w:vAlign w:val="top"/>
          </w:tcPr>
          <w:p>
            <w:pPr>
              <w:rPr>
                <w:spacing w:val="-14"/>
                <w:szCs w:val="21"/>
              </w:rPr>
            </w:pPr>
          </w:p>
        </w:tc>
        <w:tc>
          <w:tcPr>
            <w:tcW w:w="822" w:type="dxa"/>
            <w:vAlign w:val="top"/>
          </w:tcPr>
          <w:p>
            <w:pPr>
              <w:rPr>
                <w:spacing w:val="-14"/>
                <w:szCs w:val="21"/>
              </w:rPr>
            </w:pPr>
          </w:p>
        </w:tc>
        <w:tc>
          <w:tcPr>
            <w:tcW w:w="742" w:type="dxa"/>
            <w:vAlign w:val="top"/>
          </w:tcPr>
          <w:p>
            <w:pPr>
              <w:rPr>
                <w:spacing w:val="-14"/>
                <w:szCs w:val="21"/>
              </w:rPr>
            </w:pPr>
          </w:p>
        </w:tc>
        <w:tc>
          <w:tcPr>
            <w:tcW w:w="935" w:type="dxa"/>
            <w:vAlign w:val="top"/>
          </w:tcPr>
          <w:p>
            <w:pPr>
              <w:rPr>
                <w:spacing w:val="-14"/>
                <w:szCs w:val="21"/>
              </w:rPr>
            </w:pPr>
          </w:p>
        </w:tc>
        <w:tc>
          <w:tcPr>
            <w:tcW w:w="670" w:type="dxa"/>
            <w:vAlign w:val="top"/>
          </w:tcPr>
          <w:p>
            <w:pPr>
              <w:rPr>
                <w:spacing w:val="-14"/>
                <w:szCs w:val="21"/>
              </w:rPr>
            </w:pPr>
          </w:p>
        </w:tc>
        <w:tc>
          <w:tcPr>
            <w:tcW w:w="760" w:type="dxa"/>
            <w:vAlign w:val="top"/>
          </w:tcPr>
          <w:p>
            <w:pPr>
              <w:rPr>
                <w:spacing w:val="-14"/>
                <w:szCs w:val="21"/>
              </w:rPr>
            </w:pPr>
          </w:p>
        </w:tc>
        <w:tc>
          <w:tcPr>
            <w:tcW w:w="840" w:type="dxa"/>
            <w:vAlign w:val="top"/>
          </w:tcPr>
          <w:p>
            <w:pPr>
              <w:rPr>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494" w:type="dxa"/>
            <w:vAlign w:val="top"/>
          </w:tcPr>
          <w:p>
            <w:pPr>
              <w:rPr>
                <w:spacing w:val="-14"/>
                <w:szCs w:val="21"/>
              </w:rPr>
            </w:pPr>
          </w:p>
        </w:tc>
        <w:tc>
          <w:tcPr>
            <w:tcW w:w="540" w:type="dxa"/>
            <w:vAlign w:val="top"/>
          </w:tcPr>
          <w:p>
            <w:pPr>
              <w:rPr>
                <w:spacing w:val="-14"/>
                <w:szCs w:val="21"/>
              </w:rPr>
            </w:pPr>
          </w:p>
        </w:tc>
        <w:tc>
          <w:tcPr>
            <w:tcW w:w="2171" w:type="dxa"/>
            <w:vAlign w:val="top"/>
          </w:tcPr>
          <w:p>
            <w:pPr>
              <w:rPr>
                <w:spacing w:val="-14"/>
                <w:szCs w:val="21"/>
              </w:rPr>
            </w:pPr>
          </w:p>
        </w:tc>
        <w:tc>
          <w:tcPr>
            <w:tcW w:w="828" w:type="dxa"/>
            <w:vAlign w:val="top"/>
          </w:tcPr>
          <w:p>
            <w:pPr>
              <w:rPr>
                <w:spacing w:val="-14"/>
                <w:szCs w:val="21"/>
              </w:rPr>
            </w:pPr>
          </w:p>
        </w:tc>
        <w:tc>
          <w:tcPr>
            <w:tcW w:w="934" w:type="dxa"/>
            <w:vAlign w:val="top"/>
          </w:tcPr>
          <w:p>
            <w:pPr>
              <w:rPr>
                <w:spacing w:val="-14"/>
                <w:szCs w:val="21"/>
              </w:rPr>
            </w:pPr>
          </w:p>
        </w:tc>
        <w:tc>
          <w:tcPr>
            <w:tcW w:w="880" w:type="dxa"/>
            <w:vAlign w:val="top"/>
          </w:tcPr>
          <w:p>
            <w:pPr>
              <w:rPr>
                <w:spacing w:val="-14"/>
                <w:szCs w:val="21"/>
              </w:rPr>
            </w:pPr>
          </w:p>
        </w:tc>
        <w:tc>
          <w:tcPr>
            <w:tcW w:w="864" w:type="dxa"/>
            <w:vAlign w:val="top"/>
          </w:tcPr>
          <w:p>
            <w:pPr>
              <w:rPr>
                <w:spacing w:val="-14"/>
                <w:szCs w:val="21"/>
              </w:rPr>
            </w:pPr>
          </w:p>
        </w:tc>
        <w:tc>
          <w:tcPr>
            <w:tcW w:w="804" w:type="dxa"/>
            <w:vAlign w:val="top"/>
          </w:tcPr>
          <w:p>
            <w:pPr>
              <w:rPr>
                <w:spacing w:val="-14"/>
                <w:szCs w:val="21"/>
              </w:rPr>
            </w:pPr>
          </w:p>
        </w:tc>
        <w:tc>
          <w:tcPr>
            <w:tcW w:w="655" w:type="dxa"/>
            <w:vAlign w:val="top"/>
          </w:tcPr>
          <w:p>
            <w:pPr>
              <w:rPr>
                <w:spacing w:val="-14"/>
                <w:szCs w:val="21"/>
              </w:rPr>
            </w:pPr>
          </w:p>
        </w:tc>
        <w:tc>
          <w:tcPr>
            <w:tcW w:w="1221" w:type="dxa"/>
            <w:vAlign w:val="top"/>
          </w:tcPr>
          <w:p>
            <w:pPr>
              <w:rPr>
                <w:spacing w:val="-14"/>
                <w:szCs w:val="21"/>
              </w:rPr>
            </w:pPr>
          </w:p>
        </w:tc>
        <w:tc>
          <w:tcPr>
            <w:tcW w:w="822" w:type="dxa"/>
            <w:vAlign w:val="top"/>
          </w:tcPr>
          <w:p>
            <w:pPr>
              <w:rPr>
                <w:spacing w:val="-14"/>
                <w:szCs w:val="21"/>
              </w:rPr>
            </w:pPr>
          </w:p>
        </w:tc>
        <w:tc>
          <w:tcPr>
            <w:tcW w:w="742" w:type="dxa"/>
            <w:vAlign w:val="top"/>
          </w:tcPr>
          <w:p>
            <w:pPr>
              <w:rPr>
                <w:spacing w:val="-14"/>
                <w:szCs w:val="21"/>
              </w:rPr>
            </w:pPr>
          </w:p>
        </w:tc>
        <w:tc>
          <w:tcPr>
            <w:tcW w:w="935" w:type="dxa"/>
            <w:vAlign w:val="top"/>
          </w:tcPr>
          <w:p>
            <w:pPr>
              <w:rPr>
                <w:spacing w:val="-14"/>
                <w:szCs w:val="21"/>
              </w:rPr>
            </w:pPr>
          </w:p>
        </w:tc>
        <w:tc>
          <w:tcPr>
            <w:tcW w:w="670" w:type="dxa"/>
            <w:vAlign w:val="top"/>
          </w:tcPr>
          <w:p>
            <w:pPr>
              <w:rPr>
                <w:spacing w:val="-14"/>
                <w:szCs w:val="21"/>
              </w:rPr>
            </w:pPr>
          </w:p>
        </w:tc>
        <w:tc>
          <w:tcPr>
            <w:tcW w:w="760" w:type="dxa"/>
            <w:vAlign w:val="top"/>
          </w:tcPr>
          <w:p>
            <w:pPr>
              <w:rPr>
                <w:spacing w:val="-14"/>
                <w:szCs w:val="21"/>
              </w:rPr>
            </w:pPr>
          </w:p>
        </w:tc>
        <w:tc>
          <w:tcPr>
            <w:tcW w:w="840" w:type="dxa"/>
            <w:vAlign w:val="top"/>
          </w:tcPr>
          <w:p>
            <w:pPr>
              <w:rPr>
                <w:spacing w:val="-14"/>
                <w:szCs w:val="21"/>
              </w:rPr>
            </w:pPr>
          </w:p>
        </w:tc>
      </w:tr>
    </w:tbl>
    <w:p>
      <w:pPr>
        <w:autoSpaceDE w:val="0"/>
        <w:autoSpaceDN w:val="0"/>
        <w:adjustRightInd w:val="0"/>
        <w:spacing w:line="288" w:lineRule="auto"/>
        <w:rPr>
          <w:rFonts w:ascii="宋体" w:hAnsi="Arial" w:cs="宋体"/>
          <w:color w:val="000000"/>
          <w:kern w:val="0"/>
          <w:sz w:val="28"/>
          <w:szCs w:val="28"/>
          <w:lang w:val="zh-CN"/>
        </w:rPr>
      </w:pPr>
      <w:r>
        <w:rPr>
          <w:rFonts w:hint="eastAsia" w:ascii="宋体" w:hAnsi="Arial" w:cs="宋体"/>
          <w:color w:val="000000"/>
          <w:kern w:val="0"/>
          <w:sz w:val="28"/>
          <w:szCs w:val="28"/>
        </w:rPr>
        <w:t xml:space="preserve">  </w:t>
      </w:r>
      <w:r>
        <w:rPr>
          <w:rFonts w:hint="eastAsia" w:ascii="宋体" w:hAnsi="Arial" w:cs="宋体"/>
          <w:color w:val="000000"/>
          <w:kern w:val="0"/>
          <w:szCs w:val="21"/>
        </w:rPr>
        <w:t>利</w:t>
      </w:r>
      <w:r>
        <w:rPr>
          <w:rFonts w:hint="eastAsia" w:ascii="宋体" w:hAnsi="Arial" w:cs="宋体"/>
          <w:color w:val="000000"/>
          <w:kern w:val="0"/>
          <w:szCs w:val="21"/>
          <w:lang w:val="zh-CN"/>
        </w:rPr>
        <w:t>用方式：指统一经营、承包、出租、投资、其它五种，尚未利用的具有经营性功能的资源填制在“其它”方式中。</w:t>
      </w:r>
      <w:r>
        <w:rPr>
          <w:rFonts w:hint="eastAsia" w:ascii="宋体" w:hAnsi="Arial" w:cs="宋体"/>
          <w:color w:val="000000"/>
          <w:kern w:val="0"/>
          <w:sz w:val="28"/>
          <w:szCs w:val="28"/>
          <w:lang w:val="zh-CN"/>
        </w:rPr>
        <w:t>　</w:t>
      </w:r>
    </w:p>
    <w:p>
      <w:pPr>
        <w:autoSpaceDE w:val="0"/>
        <w:autoSpaceDN w:val="0"/>
        <w:adjustRightInd w:val="0"/>
        <w:spacing w:line="288" w:lineRule="auto"/>
        <w:jc w:val="center"/>
        <w:rPr>
          <w:rFonts w:ascii="宋体" w:hAnsi="Arial" w:cs="宋体"/>
          <w:color w:val="000000"/>
          <w:kern w:val="0"/>
          <w:sz w:val="28"/>
          <w:szCs w:val="28"/>
          <w:lang w:val="zh-CN"/>
        </w:rPr>
        <w:sectPr>
          <w:footerReference r:id="rId7" w:type="default"/>
          <w:pgSz w:w="16838" w:h="11906" w:orient="landscape"/>
          <w:pgMar w:top="1701" w:right="1644" w:bottom="1644" w:left="1644" w:header="851" w:footer="992" w:gutter="0"/>
          <w:pgNumType w:fmt="decimal"/>
          <w:cols w:space="0" w:num="1"/>
          <w:rtlGutter w:val="0"/>
          <w:docGrid w:type="lines" w:linePitch="317" w:charSpace="0"/>
        </w:sectPr>
      </w:pPr>
    </w:p>
    <w:p>
      <w:pPr>
        <w:autoSpaceDE w:val="0"/>
        <w:autoSpaceDN w:val="0"/>
        <w:adjustRightInd w:val="0"/>
        <w:spacing w:line="400" w:lineRule="exact"/>
        <w:jc w:val="center"/>
        <w:rPr>
          <w:b/>
          <w:bCs/>
          <w:sz w:val="36"/>
          <w:szCs w:val="36"/>
        </w:rPr>
      </w:pPr>
      <w:r>
        <w:rPr>
          <w:rFonts w:hint="eastAsia"/>
          <w:b/>
          <w:bCs/>
          <w:sz w:val="36"/>
          <w:szCs w:val="36"/>
        </w:rPr>
        <w:t>农村集体固定资产明细台账</w:t>
      </w:r>
    </w:p>
    <w:p>
      <w:pPr>
        <w:autoSpaceDE w:val="0"/>
        <w:autoSpaceDN w:val="0"/>
        <w:adjustRightInd w:val="0"/>
        <w:spacing w:line="400" w:lineRule="exact"/>
        <w:jc w:val="center"/>
        <w:rPr>
          <w:b/>
          <w:bCs/>
          <w:sz w:val="36"/>
          <w:szCs w:val="36"/>
        </w:rPr>
      </w:pPr>
    </w:p>
    <w:p>
      <w:pPr>
        <w:autoSpaceDE w:val="0"/>
        <w:autoSpaceDN w:val="0"/>
        <w:adjustRightInd w:val="0"/>
        <w:spacing w:line="400" w:lineRule="exact"/>
        <w:jc w:val="left"/>
        <w:rPr>
          <w:sz w:val="36"/>
          <w:szCs w:val="36"/>
        </w:rPr>
      </w:pPr>
      <w:r>
        <w:rPr>
          <w:rFonts w:hint="eastAsia"/>
          <w:sz w:val="24"/>
          <w:szCs w:val="24"/>
        </w:rPr>
        <w:t>权属单位：</w:t>
      </w:r>
      <w:r>
        <w:rPr>
          <w:rFonts w:hint="eastAsia"/>
          <w:sz w:val="24"/>
          <w:szCs w:val="24"/>
          <w:u w:val="single"/>
        </w:rPr>
        <w:t xml:space="preserve">                           </w:t>
      </w:r>
      <w:r>
        <w:rPr>
          <w:rFonts w:hint="eastAsia"/>
          <w:sz w:val="24"/>
          <w:szCs w:val="24"/>
        </w:rPr>
        <w:t xml:space="preserve">固定资产名称： </w:t>
      </w:r>
      <w:r>
        <w:rPr>
          <w:rFonts w:hint="eastAsia"/>
          <w:spacing w:val="-14"/>
          <w:szCs w:val="21"/>
          <w:u w:val="single"/>
        </w:rPr>
        <w:t xml:space="preserve">                                         </w:t>
      </w:r>
      <w:r>
        <w:rPr>
          <w:rFonts w:hint="eastAsia"/>
          <w:spacing w:val="-14"/>
          <w:szCs w:val="21"/>
        </w:rPr>
        <w:t xml:space="preserve">        </w:t>
      </w:r>
      <w:r>
        <w:rPr>
          <w:rFonts w:hint="eastAsia"/>
          <w:sz w:val="24"/>
          <w:szCs w:val="24"/>
        </w:rPr>
        <w:t>编码</w:t>
      </w:r>
      <w:r>
        <w:rPr>
          <w:rFonts w:hint="eastAsia"/>
          <w:spacing w:val="-14"/>
          <w:sz w:val="24"/>
          <w:szCs w:val="24"/>
        </w:rPr>
        <w:t>：</w:t>
      </w:r>
      <w:r>
        <w:rPr>
          <w:rFonts w:hint="eastAsia"/>
          <w:spacing w:val="-14"/>
          <w:szCs w:val="21"/>
          <w:u w:val="single"/>
        </w:rPr>
        <w:t xml:space="preserve">                         </w:t>
      </w:r>
      <w:r>
        <w:rPr>
          <w:rFonts w:hint="eastAsia"/>
          <w:spacing w:val="-14"/>
          <w:szCs w:val="21"/>
        </w:rPr>
        <w:t xml:space="preserve">   </w:t>
      </w:r>
    </w:p>
    <w:tbl>
      <w:tblPr>
        <w:tblStyle w:val="9"/>
        <w:tblW w:w="14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612"/>
        <w:gridCol w:w="2245"/>
        <w:gridCol w:w="1114"/>
        <w:gridCol w:w="728"/>
        <w:gridCol w:w="742"/>
        <w:gridCol w:w="636"/>
        <w:gridCol w:w="836"/>
        <w:gridCol w:w="1085"/>
        <w:gridCol w:w="1217"/>
        <w:gridCol w:w="1046"/>
        <w:gridCol w:w="1155"/>
        <w:gridCol w:w="743"/>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222" w:type="dxa"/>
            <w:gridSpan w:val="2"/>
            <w:vAlign w:val="center"/>
          </w:tcPr>
          <w:p>
            <w:pPr>
              <w:autoSpaceDE w:val="0"/>
              <w:autoSpaceDN w:val="0"/>
              <w:adjustRightInd w:val="0"/>
              <w:spacing w:line="400" w:lineRule="exact"/>
              <w:jc w:val="center"/>
              <w:rPr>
                <w:rFonts w:eastAsia="宋体"/>
                <w:szCs w:val="21"/>
              </w:rPr>
            </w:pPr>
            <w:r>
              <w:rPr>
                <w:rFonts w:hint="eastAsia"/>
                <w:szCs w:val="21"/>
              </w:rPr>
              <w:t xml:space="preserve">     年</w:t>
            </w:r>
          </w:p>
        </w:tc>
        <w:tc>
          <w:tcPr>
            <w:tcW w:w="2245" w:type="dxa"/>
            <w:vMerge w:val="restart"/>
            <w:vAlign w:val="center"/>
          </w:tcPr>
          <w:p>
            <w:pPr>
              <w:autoSpaceDE w:val="0"/>
              <w:autoSpaceDN w:val="0"/>
              <w:adjustRightInd w:val="0"/>
              <w:spacing w:line="400" w:lineRule="exact"/>
              <w:jc w:val="center"/>
              <w:rPr>
                <w:rFonts w:eastAsia="宋体"/>
                <w:szCs w:val="21"/>
              </w:rPr>
            </w:pPr>
            <w:r>
              <w:rPr>
                <w:rFonts w:hint="eastAsia"/>
                <w:szCs w:val="21"/>
              </w:rPr>
              <w:t>摘  要</w:t>
            </w:r>
          </w:p>
        </w:tc>
        <w:tc>
          <w:tcPr>
            <w:tcW w:w="1114" w:type="dxa"/>
            <w:vMerge w:val="restart"/>
            <w:vAlign w:val="center"/>
          </w:tcPr>
          <w:p>
            <w:pPr>
              <w:autoSpaceDE w:val="0"/>
              <w:autoSpaceDN w:val="0"/>
              <w:adjustRightInd w:val="0"/>
              <w:spacing w:line="400" w:lineRule="exact"/>
              <w:jc w:val="center"/>
              <w:rPr>
                <w:rFonts w:eastAsia="宋体"/>
                <w:szCs w:val="21"/>
              </w:rPr>
            </w:pPr>
            <w:r>
              <w:rPr>
                <w:rFonts w:hint="eastAsia"/>
                <w:szCs w:val="21"/>
              </w:rPr>
              <w:t>类别</w:t>
            </w:r>
          </w:p>
        </w:tc>
        <w:tc>
          <w:tcPr>
            <w:tcW w:w="728" w:type="dxa"/>
            <w:vMerge w:val="restart"/>
            <w:vAlign w:val="center"/>
          </w:tcPr>
          <w:p>
            <w:pPr>
              <w:autoSpaceDE w:val="0"/>
              <w:autoSpaceDN w:val="0"/>
              <w:adjustRightInd w:val="0"/>
              <w:spacing w:line="400" w:lineRule="exact"/>
              <w:jc w:val="center"/>
              <w:rPr>
                <w:szCs w:val="21"/>
              </w:rPr>
            </w:pPr>
            <w:r>
              <w:rPr>
                <w:rFonts w:hint="eastAsia"/>
                <w:szCs w:val="21"/>
              </w:rPr>
              <w:t>购建</w:t>
            </w:r>
          </w:p>
          <w:p>
            <w:pPr>
              <w:autoSpaceDE w:val="0"/>
              <w:autoSpaceDN w:val="0"/>
              <w:adjustRightInd w:val="0"/>
              <w:spacing w:line="400" w:lineRule="exact"/>
              <w:jc w:val="center"/>
              <w:rPr>
                <w:rFonts w:eastAsia="宋体"/>
                <w:szCs w:val="21"/>
              </w:rPr>
            </w:pPr>
            <w:r>
              <w:rPr>
                <w:rFonts w:hint="eastAsia"/>
                <w:szCs w:val="21"/>
              </w:rPr>
              <w:t>时间</w:t>
            </w:r>
          </w:p>
        </w:tc>
        <w:tc>
          <w:tcPr>
            <w:tcW w:w="742" w:type="dxa"/>
            <w:vMerge w:val="restart"/>
            <w:vAlign w:val="center"/>
          </w:tcPr>
          <w:p>
            <w:pPr>
              <w:autoSpaceDE w:val="0"/>
              <w:autoSpaceDN w:val="0"/>
              <w:adjustRightInd w:val="0"/>
              <w:spacing w:line="400" w:lineRule="exact"/>
              <w:jc w:val="center"/>
              <w:rPr>
                <w:rFonts w:eastAsia="宋体"/>
                <w:szCs w:val="21"/>
              </w:rPr>
            </w:pPr>
            <w:r>
              <w:rPr>
                <w:rFonts w:hint="eastAsia"/>
                <w:szCs w:val="21"/>
              </w:rPr>
              <w:t>预计使用年限</w:t>
            </w:r>
          </w:p>
        </w:tc>
        <w:tc>
          <w:tcPr>
            <w:tcW w:w="636" w:type="dxa"/>
            <w:vMerge w:val="restart"/>
            <w:vAlign w:val="center"/>
          </w:tcPr>
          <w:p>
            <w:pPr>
              <w:autoSpaceDE w:val="0"/>
              <w:autoSpaceDN w:val="0"/>
              <w:adjustRightInd w:val="0"/>
              <w:spacing w:line="400" w:lineRule="exact"/>
              <w:jc w:val="center"/>
              <w:rPr>
                <w:rFonts w:eastAsia="宋体"/>
                <w:szCs w:val="21"/>
              </w:rPr>
            </w:pPr>
            <w:r>
              <w:rPr>
                <w:rFonts w:hint="eastAsia"/>
                <w:szCs w:val="21"/>
              </w:rPr>
              <w:t>计量单位</w:t>
            </w:r>
          </w:p>
        </w:tc>
        <w:tc>
          <w:tcPr>
            <w:tcW w:w="836" w:type="dxa"/>
            <w:vMerge w:val="restart"/>
            <w:vAlign w:val="center"/>
          </w:tcPr>
          <w:p>
            <w:pPr>
              <w:autoSpaceDE w:val="0"/>
              <w:autoSpaceDN w:val="0"/>
              <w:adjustRightInd w:val="0"/>
              <w:spacing w:line="400" w:lineRule="exact"/>
              <w:jc w:val="center"/>
              <w:rPr>
                <w:szCs w:val="21"/>
              </w:rPr>
            </w:pPr>
            <w:r>
              <w:rPr>
                <w:rFonts w:hint="eastAsia"/>
                <w:szCs w:val="21"/>
              </w:rPr>
              <w:t>数量</w:t>
            </w:r>
          </w:p>
        </w:tc>
        <w:tc>
          <w:tcPr>
            <w:tcW w:w="1085" w:type="dxa"/>
            <w:vMerge w:val="restart"/>
            <w:vAlign w:val="center"/>
          </w:tcPr>
          <w:p>
            <w:pPr>
              <w:autoSpaceDE w:val="0"/>
              <w:autoSpaceDN w:val="0"/>
              <w:adjustRightInd w:val="0"/>
              <w:spacing w:line="400" w:lineRule="exact"/>
              <w:jc w:val="center"/>
              <w:rPr>
                <w:szCs w:val="21"/>
              </w:rPr>
            </w:pPr>
            <w:r>
              <w:rPr>
                <w:rFonts w:hint="eastAsia"/>
                <w:szCs w:val="21"/>
              </w:rPr>
              <w:t>购建单价</w:t>
            </w:r>
          </w:p>
        </w:tc>
        <w:tc>
          <w:tcPr>
            <w:tcW w:w="1217" w:type="dxa"/>
            <w:vMerge w:val="restart"/>
            <w:vAlign w:val="center"/>
          </w:tcPr>
          <w:p>
            <w:pPr>
              <w:autoSpaceDE w:val="0"/>
              <w:autoSpaceDN w:val="0"/>
              <w:adjustRightInd w:val="0"/>
              <w:spacing w:line="400" w:lineRule="exact"/>
              <w:jc w:val="center"/>
              <w:rPr>
                <w:rFonts w:eastAsia="宋体"/>
                <w:szCs w:val="21"/>
              </w:rPr>
            </w:pPr>
            <w:r>
              <w:rPr>
                <w:rFonts w:hint="eastAsia"/>
                <w:szCs w:val="21"/>
              </w:rPr>
              <w:t>原值金额</w:t>
            </w:r>
          </w:p>
        </w:tc>
        <w:tc>
          <w:tcPr>
            <w:tcW w:w="1046" w:type="dxa"/>
            <w:vMerge w:val="restart"/>
            <w:vAlign w:val="center"/>
          </w:tcPr>
          <w:p>
            <w:pPr>
              <w:autoSpaceDE w:val="0"/>
              <w:autoSpaceDN w:val="0"/>
              <w:adjustRightInd w:val="0"/>
              <w:spacing w:line="400" w:lineRule="exact"/>
              <w:jc w:val="center"/>
              <w:rPr>
                <w:rFonts w:eastAsia="宋体"/>
                <w:szCs w:val="21"/>
              </w:rPr>
            </w:pPr>
            <w:r>
              <w:rPr>
                <w:rFonts w:hint="eastAsia"/>
                <w:szCs w:val="21"/>
              </w:rPr>
              <w:t>计提折旧金额</w:t>
            </w:r>
          </w:p>
        </w:tc>
        <w:tc>
          <w:tcPr>
            <w:tcW w:w="1155" w:type="dxa"/>
            <w:vMerge w:val="restart"/>
            <w:vAlign w:val="center"/>
          </w:tcPr>
          <w:p>
            <w:pPr>
              <w:autoSpaceDE w:val="0"/>
              <w:autoSpaceDN w:val="0"/>
              <w:adjustRightInd w:val="0"/>
              <w:spacing w:line="400" w:lineRule="exact"/>
              <w:jc w:val="center"/>
              <w:rPr>
                <w:rFonts w:eastAsia="宋体"/>
                <w:szCs w:val="21"/>
              </w:rPr>
            </w:pPr>
            <w:r>
              <w:rPr>
                <w:rFonts w:hint="eastAsia"/>
                <w:szCs w:val="21"/>
              </w:rPr>
              <w:t>资产净值</w:t>
            </w:r>
          </w:p>
        </w:tc>
        <w:tc>
          <w:tcPr>
            <w:tcW w:w="743" w:type="dxa"/>
            <w:vMerge w:val="restart"/>
            <w:vAlign w:val="center"/>
          </w:tcPr>
          <w:p>
            <w:pPr>
              <w:autoSpaceDE w:val="0"/>
              <w:autoSpaceDN w:val="0"/>
              <w:adjustRightInd w:val="0"/>
              <w:spacing w:line="400" w:lineRule="exact"/>
              <w:jc w:val="center"/>
              <w:rPr>
                <w:rFonts w:eastAsia="宋体"/>
                <w:szCs w:val="21"/>
              </w:rPr>
            </w:pPr>
            <w:r>
              <w:rPr>
                <w:rFonts w:hint="eastAsia"/>
                <w:szCs w:val="21"/>
              </w:rPr>
              <w:t>使用状态</w:t>
            </w:r>
          </w:p>
        </w:tc>
        <w:tc>
          <w:tcPr>
            <w:tcW w:w="1571" w:type="dxa"/>
            <w:vMerge w:val="restart"/>
            <w:vAlign w:val="center"/>
          </w:tcPr>
          <w:p>
            <w:pPr>
              <w:autoSpaceDE w:val="0"/>
              <w:autoSpaceDN w:val="0"/>
              <w:adjustRightInd w:val="0"/>
              <w:spacing w:line="400" w:lineRule="exact"/>
              <w:jc w:val="center"/>
              <w:rPr>
                <w:rFonts w:eastAsia="宋体"/>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610" w:type="dxa"/>
            <w:vAlign w:val="center"/>
          </w:tcPr>
          <w:p>
            <w:pPr>
              <w:autoSpaceDE w:val="0"/>
              <w:autoSpaceDN w:val="0"/>
              <w:adjustRightInd w:val="0"/>
              <w:spacing w:line="400" w:lineRule="exact"/>
              <w:jc w:val="center"/>
              <w:rPr>
                <w:rFonts w:eastAsia="宋体"/>
              </w:rPr>
            </w:pPr>
            <w:r>
              <w:rPr>
                <w:rFonts w:hint="eastAsia"/>
              </w:rPr>
              <w:t>月</w:t>
            </w:r>
          </w:p>
        </w:tc>
        <w:tc>
          <w:tcPr>
            <w:tcW w:w="612" w:type="dxa"/>
            <w:vAlign w:val="center"/>
          </w:tcPr>
          <w:p>
            <w:pPr>
              <w:autoSpaceDE w:val="0"/>
              <w:autoSpaceDN w:val="0"/>
              <w:adjustRightInd w:val="0"/>
              <w:spacing w:line="400" w:lineRule="exact"/>
              <w:jc w:val="center"/>
              <w:rPr>
                <w:rFonts w:eastAsia="宋体"/>
              </w:rPr>
            </w:pPr>
            <w:r>
              <w:rPr>
                <w:rFonts w:hint="eastAsia"/>
              </w:rPr>
              <w:t>日</w:t>
            </w:r>
          </w:p>
        </w:tc>
        <w:tc>
          <w:tcPr>
            <w:tcW w:w="2245" w:type="dxa"/>
            <w:vMerge w:val="continue"/>
            <w:vAlign w:val="center"/>
          </w:tcPr>
          <w:p>
            <w:pPr>
              <w:autoSpaceDE w:val="0"/>
              <w:autoSpaceDN w:val="0"/>
              <w:adjustRightInd w:val="0"/>
              <w:spacing w:line="400" w:lineRule="exact"/>
              <w:jc w:val="center"/>
            </w:pPr>
          </w:p>
        </w:tc>
        <w:tc>
          <w:tcPr>
            <w:tcW w:w="1114" w:type="dxa"/>
            <w:vMerge w:val="continue"/>
            <w:vAlign w:val="center"/>
          </w:tcPr>
          <w:p>
            <w:pPr>
              <w:autoSpaceDE w:val="0"/>
              <w:autoSpaceDN w:val="0"/>
              <w:adjustRightInd w:val="0"/>
              <w:spacing w:line="400" w:lineRule="exact"/>
              <w:jc w:val="center"/>
            </w:pPr>
          </w:p>
        </w:tc>
        <w:tc>
          <w:tcPr>
            <w:tcW w:w="728" w:type="dxa"/>
            <w:vMerge w:val="continue"/>
            <w:vAlign w:val="center"/>
          </w:tcPr>
          <w:p>
            <w:pPr>
              <w:autoSpaceDE w:val="0"/>
              <w:autoSpaceDN w:val="0"/>
              <w:adjustRightInd w:val="0"/>
              <w:spacing w:line="400" w:lineRule="exact"/>
              <w:jc w:val="center"/>
            </w:pPr>
          </w:p>
        </w:tc>
        <w:tc>
          <w:tcPr>
            <w:tcW w:w="742" w:type="dxa"/>
            <w:vMerge w:val="continue"/>
            <w:vAlign w:val="center"/>
          </w:tcPr>
          <w:p>
            <w:pPr>
              <w:autoSpaceDE w:val="0"/>
              <w:autoSpaceDN w:val="0"/>
              <w:adjustRightInd w:val="0"/>
              <w:spacing w:line="400" w:lineRule="exact"/>
              <w:jc w:val="center"/>
            </w:pPr>
          </w:p>
        </w:tc>
        <w:tc>
          <w:tcPr>
            <w:tcW w:w="636" w:type="dxa"/>
            <w:vMerge w:val="continue"/>
            <w:vAlign w:val="center"/>
          </w:tcPr>
          <w:p>
            <w:pPr>
              <w:autoSpaceDE w:val="0"/>
              <w:autoSpaceDN w:val="0"/>
              <w:adjustRightInd w:val="0"/>
              <w:spacing w:line="400" w:lineRule="exact"/>
              <w:jc w:val="center"/>
            </w:pPr>
          </w:p>
        </w:tc>
        <w:tc>
          <w:tcPr>
            <w:tcW w:w="836" w:type="dxa"/>
            <w:vMerge w:val="continue"/>
            <w:vAlign w:val="center"/>
          </w:tcPr>
          <w:p>
            <w:pPr>
              <w:autoSpaceDE w:val="0"/>
              <w:autoSpaceDN w:val="0"/>
              <w:adjustRightInd w:val="0"/>
              <w:spacing w:line="400" w:lineRule="exact"/>
              <w:jc w:val="center"/>
            </w:pPr>
          </w:p>
        </w:tc>
        <w:tc>
          <w:tcPr>
            <w:tcW w:w="1085" w:type="dxa"/>
            <w:vMerge w:val="continue"/>
            <w:vAlign w:val="center"/>
          </w:tcPr>
          <w:p>
            <w:pPr>
              <w:autoSpaceDE w:val="0"/>
              <w:autoSpaceDN w:val="0"/>
              <w:adjustRightInd w:val="0"/>
              <w:spacing w:line="400" w:lineRule="exact"/>
              <w:jc w:val="center"/>
            </w:pPr>
          </w:p>
        </w:tc>
        <w:tc>
          <w:tcPr>
            <w:tcW w:w="1217" w:type="dxa"/>
            <w:vMerge w:val="continue"/>
            <w:vAlign w:val="center"/>
          </w:tcPr>
          <w:p>
            <w:pPr>
              <w:autoSpaceDE w:val="0"/>
              <w:autoSpaceDN w:val="0"/>
              <w:adjustRightInd w:val="0"/>
              <w:spacing w:line="400" w:lineRule="exact"/>
              <w:jc w:val="center"/>
            </w:pPr>
          </w:p>
        </w:tc>
        <w:tc>
          <w:tcPr>
            <w:tcW w:w="1046" w:type="dxa"/>
            <w:vMerge w:val="continue"/>
            <w:vAlign w:val="center"/>
          </w:tcPr>
          <w:p>
            <w:pPr>
              <w:autoSpaceDE w:val="0"/>
              <w:autoSpaceDN w:val="0"/>
              <w:adjustRightInd w:val="0"/>
              <w:spacing w:line="400" w:lineRule="exact"/>
              <w:jc w:val="center"/>
            </w:pPr>
          </w:p>
        </w:tc>
        <w:tc>
          <w:tcPr>
            <w:tcW w:w="1155" w:type="dxa"/>
            <w:vMerge w:val="continue"/>
            <w:vAlign w:val="center"/>
          </w:tcPr>
          <w:p>
            <w:pPr>
              <w:autoSpaceDE w:val="0"/>
              <w:autoSpaceDN w:val="0"/>
              <w:adjustRightInd w:val="0"/>
              <w:spacing w:line="400" w:lineRule="exact"/>
              <w:jc w:val="center"/>
            </w:pPr>
          </w:p>
        </w:tc>
        <w:tc>
          <w:tcPr>
            <w:tcW w:w="743" w:type="dxa"/>
            <w:vMerge w:val="continue"/>
            <w:vAlign w:val="center"/>
          </w:tcPr>
          <w:p>
            <w:pPr>
              <w:autoSpaceDE w:val="0"/>
              <w:autoSpaceDN w:val="0"/>
              <w:adjustRightInd w:val="0"/>
              <w:spacing w:line="400" w:lineRule="exact"/>
              <w:jc w:val="center"/>
            </w:pPr>
          </w:p>
        </w:tc>
        <w:tc>
          <w:tcPr>
            <w:tcW w:w="1571" w:type="dxa"/>
            <w:vMerge w:val="continue"/>
            <w:vAlign w:val="center"/>
          </w:tcPr>
          <w:p>
            <w:pPr>
              <w:autoSpaceDE w:val="0"/>
              <w:autoSpaceDN w:val="0"/>
              <w:adjustRightInd w:val="0"/>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610" w:type="dxa"/>
            <w:vAlign w:val="top"/>
          </w:tcPr>
          <w:p>
            <w:pPr>
              <w:autoSpaceDE w:val="0"/>
              <w:autoSpaceDN w:val="0"/>
              <w:adjustRightInd w:val="0"/>
              <w:spacing w:line="400" w:lineRule="exact"/>
              <w:jc w:val="center"/>
              <w:rPr>
                <w:sz w:val="36"/>
                <w:szCs w:val="36"/>
              </w:rPr>
            </w:pPr>
          </w:p>
        </w:tc>
        <w:tc>
          <w:tcPr>
            <w:tcW w:w="612" w:type="dxa"/>
            <w:vAlign w:val="top"/>
          </w:tcPr>
          <w:p>
            <w:pPr>
              <w:autoSpaceDE w:val="0"/>
              <w:autoSpaceDN w:val="0"/>
              <w:adjustRightInd w:val="0"/>
              <w:spacing w:line="400" w:lineRule="exact"/>
              <w:jc w:val="center"/>
              <w:rPr>
                <w:sz w:val="36"/>
                <w:szCs w:val="36"/>
              </w:rPr>
            </w:pPr>
          </w:p>
        </w:tc>
        <w:tc>
          <w:tcPr>
            <w:tcW w:w="2245" w:type="dxa"/>
            <w:vAlign w:val="top"/>
          </w:tcPr>
          <w:p>
            <w:pPr>
              <w:autoSpaceDE w:val="0"/>
              <w:autoSpaceDN w:val="0"/>
              <w:adjustRightInd w:val="0"/>
              <w:spacing w:line="400" w:lineRule="exact"/>
              <w:jc w:val="center"/>
              <w:rPr>
                <w:sz w:val="36"/>
                <w:szCs w:val="36"/>
              </w:rPr>
            </w:pPr>
          </w:p>
        </w:tc>
        <w:tc>
          <w:tcPr>
            <w:tcW w:w="1114" w:type="dxa"/>
            <w:vAlign w:val="top"/>
          </w:tcPr>
          <w:p>
            <w:pPr>
              <w:autoSpaceDE w:val="0"/>
              <w:autoSpaceDN w:val="0"/>
              <w:adjustRightInd w:val="0"/>
              <w:spacing w:line="400" w:lineRule="exact"/>
              <w:jc w:val="center"/>
              <w:rPr>
                <w:sz w:val="36"/>
                <w:szCs w:val="36"/>
              </w:rPr>
            </w:pPr>
          </w:p>
        </w:tc>
        <w:tc>
          <w:tcPr>
            <w:tcW w:w="728" w:type="dxa"/>
            <w:vAlign w:val="top"/>
          </w:tcPr>
          <w:p>
            <w:pPr>
              <w:autoSpaceDE w:val="0"/>
              <w:autoSpaceDN w:val="0"/>
              <w:adjustRightInd w:val="0"/>
              <w:spacing w:line="400" w:lineRule="exact"/>
              <w:jc w:val="center"/>
              <w:rPr>
                <w:sz w:val="36"/>
                <w:szCs w:val="36"/>
              </w:rPr>
            </w:pPr>
          </w:p>
        </w:tc>
        <w:tc>
          <w:tcPr>
            <w:tcW w:w="742" w:type="dxa"/>
            <w:vAlign w:val="top"/>
          </w:tcPr>
          <w:p>
            <w:pPr>
              <w:autoSpaceDE w:val="0"/>
              <w:autoSpaceDN w:val="0"/>
              <w:adjustRightInd w:val="0"/>
              <w:spacing w:line="400" w:lineRule="exact"/>
              <w:jc w:val="center"/>
              <w:rPr>
                <w:sz w:val="36"/>
                <w:szCs w:val="36"/>
              </w:rPr>
            </w:pPr>
          </w:p>
        </w:tc>
        <w:tc>
          <w:tcPr>
            <w:tcW w:w="636" w:type="dxa"/>
            <w:vAlign w:val="top"/>
          </w:tcPr>
          <w:p>
            <w:pPr>
              <w:autoSpaceDE w:val="0"/>
              <w:autoSpaceDN w:val="0"/>
              <w:adjustRightInd w:val="0"/>
              <w:spacing w:line="400" w:lineRule="exact"/>
              <w:jc w:val="center"/>
              <w:rPr>
                <w:sz w:val="36"/>
                <w:szCs w:val="36"/>
              </w:rPr>
            </w:pPr>
          </w:p>
        </w:tc>
        <w:tc>
          <w:tcPr>
            <w:tcW w:w="836" w:type="dxa"/>
            <w:vAlign w:val="top"/>
          </w:tcPr>
          <w:p>
            <w:pPr>
              <w:autoSpaceDE w:val="0"/>
              <w:autoSpaceDN w:val="0"/>
              <w:adjustRightInd w:val="0"/>
              <w:spacing w:line="400" w:lineRule="exact"/>
              <w:jc w:val="center"/>
              <w:rPr>
                <w:sz w:val="36"/>
                <w:szCs w:val="36"/>
              </w:rPr>
            </w:pPr>
          </w:p>
        </w:tc>
        <w:tc>
          <w:tcPr>
            <w:tcW w:w="1085" w:type="dxa"/>
            <w:vAlign w:val="top"/>
          </w:tcPr>
          <w:p>
            <w:pPr>
              <w:autoSpaceDE w:val="0"/>
              <w:autoSpaceDN w:val="0"/>
              <w:adjustRightInd w:val="0"/>
              <w:spacing w:line="400" w:lineRule="exact"/>
              <w:jc w:val="center"/>
              <w:rPr>
                <w:sz w:val="36"/>
                <w:szCs w:val="36"/>
              </w:rPr>
            </w:pPr>
          </w:p>
        </w:tc>
        <w:tc>
          <w:tcPr>
            <w:tcW w:w="1217" w:type="dxa"/>
            <w:vAlign w:val="top"/>
          </w:tcPr>
          <w:p>
            <w:pPr>
              <w:autoSpaceDE w:val="0"/>
              <w:autoSpaceDN w:val="0"/>
              <w:adjustRightInd w:val="0"/>
              <w:spacing w:line="400" w:lineRule="exact"/>
              <w:jc w:val="center"/>
              <w:rPr>
                <w:sz w:val="36"/>
                <w:szCs w:val="36"/>
              </w:rPr>
            </w:pPr>
          </w:p>
        </w:tc>
        <w:tc>
          <w:tcPr>
            <w:tcW w:w="1046" w:type="dxa"/>
            <w:vAlign w:val="top"/>
          </w:tcPr>
          <w:p>
            <w:pPr>
              <w:autoSpaceDE w:val="0"/>
              <w:autoSpaceDN w:val="0"/>
              <w:adjustRightInd w:val="0"/>
              <w:spacing w:line="400" w:lineRule="exact"/>
              <w:jc w:val="center"/>
              <w:rPr>
                <w:sz w:val="36"/>
                <w:szCs w:val="36"/>
              </w:rPr>
            </w:pPr>
          </w:p>
        </w:tc>
        <w:tc>
          <w:tcPr>
            <w:tcW w:w="1155" w:type="dxa"/>
            <w:vAlign w:val="top"/>
          </w:tcPr>
          <w:p>
            <w:pPr>
              <w:autoSpaceDE w:val="0"/>
              <w:autoSpaceDN w:val="0"/>
              <w:adjustRightInd w:val="0"/>
              <w:spacing w:line="400" w:lineRule="exact"/>
              <w:jc w:val="center"/>
              <w:rPr>
                <w:sz w:val="36"/>
                <w:szCs w:val="36"/>
              </w:rPr>
            </w:pPr>
          </w:p>
        </w:tc>
        <w:tc>
          <w:tcPr>
            <w:tcW w:w="743" w:type="dxa"/>
            <w:vAlign w:val="top"/>
          </w:tcPr>
          <w:p>
            <w:pPr>
              <w:autoSpaceDE w:val="0"/>
              <w:autoSpaceDN w:val="0"/>
              <w:adjustRightInd w:val="0"/>
              <w:spacing w:line="400" w:lineRule="exact"/>
              <w:jc w:val="center"/>
              <w:rPr>
                <w:sz w:val="36"/>
                <w:szCs w:val="36"/>
              </w:rPr>
            </w:pPr>
          </w:p>
        </w:tc>
        <w:tc>
          <w:tcPr>
            <w:tcW w:w="1571" w:type="dxa"/>
            <w:vAlign w:val="top"/>
          </w:tcPr>
          <w:p>
            <w:pPr>
              <w:autoSpaceDE w:val="0"/>
              <w:autoSpaceDN w:val="0"/>
              <w:adjustRightInd w:val="0"/>
              <w:spacing w:line="400" w:lineRule="exact"/>
              <w:jc w:val="cente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610" w:type="dxa"/>
            <w:vAlign w:val="top"/>
          </w:tcPr>
          <w:p>
            <w:pPr>
              <w:autoSpaceDE w:val="0"/>
              <w:autoSpaceDN w:val="0"/>
              <w:adjustRightInd w:val="0"/>
              <w:spacing w:line="400" w:lineRule="exact"/>
              <w:jc w:val="center"/>
              <w:rPr>
                <w:sz w:val="36"/>
                <w:szCs w:val="36"/>
              </w:rPr>
            </w:pPr>
          </w:p>
        </w:tc>
        <w:tc>
          <w:tcPr>
            <w:tcW w:w="612" w:type="dxa"/>
            <w:vAlign w:val="top"/>
          </w:tcPr>
          <w:p>
            <w:pPr>
              <w:autoSpaceDE w:val="0"/>
              <w:autoSpaceDN w:val="0"/>
              <w:adjustRightInd w:val="0"/>
              <w:spacing w:line="400" w:lineRule="exact"/>
              <w:jc w:val="center"/>
              <w:rPr>
                <w:sz w:val="36"/>
                <w:szCs w:val="36"/>
              </w:rPr>
            </w:pPr>
          </w:p>
        </w:tc>
        <w:tc>
          <w:tcPr>
            <w:tcW w:w="2245" w:type="dxa"/>
            <w:vAlign w:val="top"/>
          </w:tcPr>
          <w:p>
            <w:pPr>
              <w:autoSpaceDE w:val="0"/>
              <w:autoSpaceDN w:val="0"/>
              <w:adjustRightInd w:val="0"/>
              <w:spacing w:line="400" w:lineRule="exact"/>
              <w:jc w:val="center"/>
              <w:rPr>
                <w:sz w:val="36"/>
                <w:szCs w:val="36"/>
              </w:rPr>
            </w:pPr>
          </w:p>
        </w:tc>
        <w:tc>
          <w:tcPr>
            <w:tcW w:w="1114" w:type="dxa"/>
            <w:vAlign w:val="top"/>
          </w:tcPr>
          <w:p>
            <w:pPr>
              <w:autoSpaceDE w:val="0"/>
              <w:autoSpaceDN w:val="0"/>
              <w:adjustRightInd w:val="0"/>
              <w:spacing w:line="400" w:lineRule="exact"/>
              <w:jc w:val="center"/>
              <w:rPr>
                <w:sz w:val="36"/>
                <w:szCs w:val="36"/>
              </w:rPr>
            </w:pPr>
          </w:p>
        </w:tc>
        <w:tc>
          <w:tcPr>
            <w:tcW w:w="728" w:type="dxa"/>
            <w:vAlign w:val="top"/>
          </w:tcPr>
          <w:p>
            <w:pPr>
              <w:autoSpaceDE w:val="0"/>
              <w:autoSpaceDN w:val="0"/>
              <w:adjustRightInd w:val="0"/>
              <w:spacing w:line="400" w:lineRule="exact"/>
              <w:jc w:val="center"/>
              <w:rPr>
                <w:sz w:val="36"/>
                <w:szCs w:val="36"/>
              </w:rPr>
            </w:pPr>
          </w:p>
        </w:tc>
        <w:tc>
          <w:tcPr>
            <w:tcW w:w="742" w:type="dxa"/>
            <w:vAlign w:val="top"/>
          </w:tcPr>
          <w:p>
            <w:pPr>
              <w:autoSpaceDE w:val="0"/>
              <w:autoSpaceDN w:val="0"/>
              <w:adjustRightInd w:val="0"/>
              <w:spacing w:line="400" w:lineRule="exact"/>
              <w:jc w:val="center"/>
              <w:rPr>
                <w:sz w:val="36"/>
                <w:szCs w:val="36"/>
              </w:rPr>
            </w:pPr>
          </w:p>
        </w:tc>
        <w:tc>
          <w:tcPr>
            <w:tcW w:w="636" w:type="dxa"/>
            <w:vAlign w:val="top"/>
          </w:tcPr>
          <w:p>
            <w:pPr>
              <w:autoSpaceDE w:val="0"/>
              <w:autoSpaceDN w:val="0"/>
              <w:adjustRightInd w:val="0"/>
              <w:spacing w:line="400" w:lineRule="exact"/>
              <w:jc w:val="center"/>
              <w:rPr>
                <w:sz w:val="36"/>
                <w:szCs w:val="36"/>
              </w:rPr>
            </w:pPr>
          </w:p>
        </w:tc>
        <w:tc>
          <w:tcPr>
            <w:tcW w:w="836" w:type="dxa"/>
            <w:vAlign w:val="top"/>
          </w:tcPr>
          <w:p>
            <w:pPr>
              <w:autoSpaceDE w:val="0"/>
              <w:autoSpaceDN w:val="0"/>
              <w:adjustRightInd w:val="0"/>
              <w:spacing w:line="400" w:lineRule="exact"/>
              <w:jc w:val="center"/>
              <w:rPr>
                <w:sz w:val="36"/>
                <w:szCs w:val="36"/>
              </w:rPr>
            </w:pPr>
          </w:p>
        </w:tc>
        <w:tc>
          <w:tcPr>
            <w:tcW w:w="1085" w:type="dxa"/>
            <w:vAlign w:val="top"/>
          </w:tcPr>
          <w:p>
            <w:pPr>
              <w:autoSpaceDE w:val="0"/>
              <w:autoSpaceDN w:val="0"/>
              <w:adjustRightInd w:val="0"/>
              <w:spacing w:line="400" w:lineRule="exact"/>
              <w:jc w:val="center"/>
              <w:rPr>
                <w:sz w:val="36"/>
                <w:szCs w:val="36"/>
              </w:rPr>
            </w:pPr>
          </w:p>
        </w:tc>
        <w:tc>
          <w:tcPr>
            <w:tcW w:w="1217" w:type="dxa"/>
            <w:vAlign w:val="top"/>
          </w:tcPr>
          <w:p>
            <w:pPr>
              <w:autoSpaceDE w:val="0"/>
              <w:autoSpaceDN w:val="0"/>
              <w:adjustRightInd w:val="0"/>
              <w:spacing w:line="400" w:lineRule="exact"/>
              <w:jc w:val="center"/>
              <w:rPr>
                <w:sz w:val="36"/>
                <w:szCs w:val="36"/>
              </w:rPr>
            </w:pPr>
          </w:p>
        </w:tc>
        <w:tc>
          <w:tcPr>
            <w:tcW w:w="1046" w:type="dxa"/>
            <w:vAlign w:val="top"/>
          </w:tcPr>
          <w:p>
            <w:pPr>
              <w:autoSpaceDE w:val="0"/>
              <w:autoSpaceDN w:val="0"/>
              <w:adjustRightInd w:val="0"/>
              <w:spacing w:line="400" w:lineRule="exact"/>
              <w:jc w:val="center"/>
              <w:rPr>
                <w:sz w:val="36"/>
                <w:szCs w:val="36"/>
              </w:rPr>
            </w:pPr>
          </w:p>
        </w:tc>
        <w:tc>
          <w:tcPr>
            <w:tcW w:w="1155" w:type="dxa"/>
            <w:vAlign w:val="top"/>
          </w:tcPr>
          <w:p>
            <w:pPr>
              <w:autoSpaceDE w:val="0"/>
              <w:autoSpaceDN w:val="0"/>
              <w:adjustRightInd w:val="0"/>
              <w:spacing w:line="400" w:lineRule="exact"/>
              <w:jc w:val="center"/>
              <w:rPr>
                <w:sz w:val="36"/>
                <w:szCs w:val="36"/>
              </w:rPr>
            </w:pPr>
          </w:p>
        </w:tc>
        <w:tc>
          <w:tcPr>
            <w:tcW w:w="743" w:type="dxa"/>
            <w:vAlign w:val="top"/>
          </w:tcPr>
          <w:p>
            <w:pPr>
              <w:autoSpaceDE w:val="0"/>
              <w:autoSpaceDN w:val="0"/>
              <w:adjustRightInd w:val="0"/>
              <w:spacing w:line="400" w:lineRule="exact"/>
              <w:jc w:val="center"/>
              <w:rPr>
                <w:sz w:val="36"/>
                <w:szCs w:val="36"/>
              </w:rPr>
            </w:pPr>
          </w:p>
        </w:tc>
        <w:tc>
          <w:tcPr>
            <w:tcW w:w="1571" w:type="dxa"/>
            <w:vAlign w:val="top"/>
          </w:tcPr>
          <w:p>
            <w:pPr>
              <w:autoSpaceDE w:val="0"/>
              <w:autoSpaceDN w:val="0"/>
              <w:adjustRightInd w:val="0"/>
              <w:spacing w:line="400" w:lineRule="exact"/>
              <w:jc w:val="cente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610" w:type="dxa"/>
            <w:vAlign w:val="top"/>
          </w:tcPr>
          <w:p>
            <w:pPr>
              <w:autoSpaceDE w:val="0"/>
              <w:autoSpaceDN w:val="0"/>
              <w:adjustRightInd w:val="0"/>
              <w:spacing w:line="400" w:lineRule="exact"/>
              <w:jc w:val="center"/>
              <w:rPr>
                <w:sz w:val="36"/>
                <w:szCs w:val="36"/>
              </w:rPr>
            </w:pPr>
          </w:p>
        </w:tc>
        <w:tc>
          <w:tcPr>
            <w:tcW w:w="612" w:type="dxa"/>
            <w:vAlign w:val="top"/>
          </w:tcPr>
          <w:p>
            <w:pPr>
              <w:autoSpaceDE w:val="0"/>
              <w:autoSpaceDN w:val="0"/>
              <w:adjustRightInd w:val="0"/>
              <w:spacing w:line="400" w:lineRule="exact"/>
              <w:jc w:val="center"/>
              <w:rPr>
                <w:sz w:val="36"/>
                <w:szCs w:val="36"/>
              </w:rPr>
            </w:pPr>
          </w:p>
        </w:tc>
        <w:tc>
          <w:tcPr>
            <w:tcW w:w="2245" w:type="dxa"/>
            <w:vAlign w:val="top"/>
          </w:tcPr>
          <w:p>
            <w:pPr>
              <w:autoSpaceDE w:val="0"/>
              <w:autoSpaceDN w:val="0"/>
              <w:adjustRightInd w:val="0"/>
              <w:spacing w:line="400" w:lineRule="exact"/>
              <w:jc w:val="center"/>
              <w:rPr>
                <w:sz w:val="36"/>
                <w:szCs w:val="36"/>
              </w:rPr>
            </w:pPr>
          </w:p>
        </w:tc>
        <w:tc>
          <w:tcPr>
            <w:tcW w:w="1114" w:type="dxa"/>
            <w:vAlign w:val="top"/>
          </w:tcPr>
          <w:p>
            <w:pPr>
              <w:autoSpaceDE w:val="0"/>
              <w:autoSpaceDN w:val="0"/>
              <w:adjustRightInd w:val="0"/>
              <w:spacing w:line="400" w:lineRule="exact"/>
              <w:jc w:val="center"/>
              <w:rPr>
                <w:sz w:val="36"/>
                <w:szCs w:val="36"/>
              </w:rPr>
            </w:pPr>
          </w:p>
        </w:tc>
        <w:tc>
          <w:tcPr>
            <w:tcW w:w="728" w:type="dxa"/>
            <w:vAlign w:val="top"/>
          </w:tcPr>
          <w:p>
            <w:pPr>
              <w:autoSpaceDE w:val="0"/>
              <w:autoSpaceDN w:val="0"/>
              <w:adjustRightInd w:val="0"/>
              <w:spacing w:line="400" w:lineRule="exact"/>
              <w:jc w:val="center"/>
              <w:rPr>
                <w:sz w:val="36"/>
                <w:szCs w:val="36"/>
              </w:rPr>
            </w:pPr>
          </w:p>
        </w:tc>
        <w:tc>
          <w:tcPr>
            <w:tcW w:w="742" w:type="dxa"/>
            <w:vAlign w:val="top"/>
          </w:tcPr>
          <w:p>
            <w:pPr>
              <w:autoSpaceDE w:val="0"/>
              <w:autoSpaceDN w:val="0"/>
              <w:adjustRightInd w:val="0"/>
              <w:spacing w:line="400" w:lineRule="exact"/>
              <w:jc w:val="center"/>
              <w:rPr>
                <w:sz w:val="36"/>
                <w:szCs w:val="36"/>
              </w:rPr>
            </w:pPr>
          </w:p>
        </w:tc>
        <w:tc>
          <w:tcPr>
            <w:tcW w:w="636" w:type="dxa"/>
            <w:vAlign w:val="top"/>
          </w:tcPr>
          <w:p>
            <w:pPr>
              <w:autoSpaceDE w:val="0"/>
              <w:autoSpaceDN w:val="0"/>
              <w:adjustRightInd w:val="0"/>
              <w:spacing w:line="400" w:lineRule="exact"/>
              <w:jc w:val="center"/>
              <w:rPr>
                <w:sz w:val="36"/>
                <w:szCs w:val="36"/>
              </w:rPr>
            </w:pPr>
          </w:p>
        </w:tc>
        <w:tc>
          <w:tcPr>
            <w:tcW w:w="836" w:type="dxa"/>
            <w:vAlign w:val="top"/>
          </w:tcPr>
          <w:p>
            <w:pPr>
              <w:autoSpaceDE w:val="0"/>
              <w:autoSpaceDN w:val="0"/>
              <w:adjustRightInd w:val="0"/>
              <w:spacing w:line="400" w:lineRule="exact"/>
              <w:jc w:val="center"/>
              <w:rPr>
                <w:sz w:val="36"/>
                <w:szCs w:val="36"/>
              </w:rPr>
            </w:pPr>
          </w:p>
        </w:tc>
        <w:tc>
          <w:tcPr>
            <w:tcW w:w="1085" w:type="dxa"/>
            <w:vAlign w:val="top"/>
          </w:tcPr>
          <w:p>
            <w:pPr>
              <w:autoSpaceDE w:val="0"/>
              <w:autoSpaceDN w:val="0"/>
              <w:adjustRightInd w:val="0"/>
              <w:spacing w:line="400" w:lineRule="exact"/>
              <w:jc w:val="center"/>
              <w:rPr>
                <w:sz w:val="36"/>
                <w:szCs w:val="36"/>
              </w:rPr>
            </w:pPr>
          </w:p>
        </w:tc>
        <w:tc>
          <w:tcPr>
            <w:tcW w:w="1217" w:type="dxa"/>
            <w:vAlign w:val="top"/>
          </w:tcPr>
          <w:p>
            <w:pPr>
              <w:autoSpaceDE w:val="0"/>
              <w:autoSpaceDN w:val="0"/>
              <w:adjustRightInd w:val="0"/>
              <w:spacing w:line="400" w:lineRule="exact"/>
              <w:jc w:val="center"/>
              <w:rPr>
                <w:sz w:val="36"/>
                <w:szCs w:val="36"/>
              </w:rPr>
            </w:pPr>
          </w:p>
        </w:tc>
        <w:tc>
          <w:tcPr>
            <w:tcW w:w="1046" w:type="dxa"/>
            <w:vAlign w:val="top"/>
          </w:tcPr>
          <w:p>
            <w:pPr>
              <w:autoSpaceDE w:val="0"/>
              <w:autoSpaceDN w:val="0"/>
              <w:adjustRightInd w:val="0"/>
              <w:spacing w:line="400" w:lineRule="exact"/>
              <w:jc w:val="center"/>
              <w:rPr>
                <w:sz w:val="36"/>
                <w:szCs w:val="36"/>
              </w:rPr>
            </w:pPr>
          </w:p>
        </w:tc>
        <w:tc>
          <w:tcPr>
            <w:tcW w:w="1155" w:type="dxa"/>
            <w:vAlign w:val="top"/>
          </w:tcPr>
          <w:p>
            <w:pPr>
              <w:autoSpaceDE w:val="0"/>
              <w:autoSpaceDN w:val="0"/>
              <w:adjustRightInd w:val="0"/>
              <w:spacing w:line="400" w:lineRule="exact"/>
              <w:jc w:val="center"/>
              <w:rPr>
                <w:sz w:val="36"/>
                <w:szCs w:val="36"/>
              </w:rPr>
            </w:pPr>
          </w:p>
        </w:tc>
        <w:tc>
          <w:tcPr>
            <w:tcW w:w="743" w:type="dxa"/>
            <w:vAlign w:val="top"/>
          </w:tcPr>
          <w:p>
            <w:pPr>
              <w:autoSpaceDE w:val="0"/>
              <w:autoSpaceDN w:val="0"/>
              <w:adjustRightInd w:val="0"/>
              <w:spacing w:line="400" w:lineRule="exact"/>
              <w:jc w:val="center"/>
              <w:rPr>
                <w:sz w:val="36"/>
                <w:szCs w:val="36"/>
              </w:rPr>
            </w:pPr>
          </w:p>
        </w:tc>
        <w:tc>
          <w:tcPr>
            <w:tcW w:w="1571" w:type="dxa"/>
            <w:vAlign w:val="top"/>
          </w:tcPr>
          <w:p>
            <w:pPr>
              <w:autoSpaceDE w:val="0"/>
              <w:autoSpaceDN w:val="0"/>
              <w:adjustRightInd w:val="0"/>
              <w:spacing w:line="400" w:lineRule="exact"/>
              <w:jc w:val="cente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610" w:type="dxa"/>
            <w:vAlign w:val="top"/>
          </w:tcPr>
          <w:p>
            <w:pPr>
              <w:autoSpaceDE w:val="0"/>
              <w:autoSpaceDN w:val="0"/>
              <w:adjustRightInd w:val="0"/>
              <w:spacing w:line="400" w:lineRule="exact"/>
              <w:jc w:val="center"/>
              <w:rPr>
                <w:sz w:val="36"/>
                <w:szCs w:val="36"/>
              </w:rPr>
            </w:pPr>
          </w:p>
        </w:tc>
        <w:tc>
          <w:tcPr>
            <w:tcW w:w="612" w:type="dxa"/>
            <w:vAlign w:val="top"/>
          </w:tcPr>
          <w:p>
            <w:pPr>
              <w:autoSpaceDE w:val="0"/>
              <w:autoSpaceDN w:val="0"/>
              <w:adjustRightInd w:val="0"/>
              <w:spacing w:line="400" w:lineRule="exact"/>
              <w:jc w:val="center"/>
              <w:rPr>
                <w:sz w:val="36"/>
                <w:szCs w:val="36"/>
              </w:rPr>
            </w:pPr>
          </w:p>
        </w:tc>
        <w:tc>
          <w:tcPr>
            <w:tcW w:w="2245" w:type="dxa"/>
            <w:vAlign w:val="top"/>
          </w:tcPr>
          <w:p>
            <w:pPr>
              <w:autoSpaceDE w:val="0"/>
              <w:autoSpaceDN w:val="0"/>
              <w:adjustRightInd w:val="0"/>
              <w:spacing w:line="400" w:lineRule="exact"/>
              <w:jc w:val="center"/>
              <w:rPr>
                <w:sz w:val="36"/>
                <w:szCs w:val="36"/>
              </w:rPr>
            </w:pPr>
          </w:p>
        </w:tc>
        <w:tc>
          <w:tcPr>
            <w:tcW w:w="1114" w:type="dxa"/>
            <w:vAlign w:val="top"/>
          </w:tcPr>
          <w:p>
            <w:pPr>
              <w:autoSpaceDE w:val="0"/>
              <w:autoSpaceDN w:val="0"/>
              <w:adjustRightInd w:val="0"/>
              <w:spacing w:line="400" w:lineRule="exact"/>
              <w:jc w:val="center"/>
              <w:rPr>
                <w:sz w:val="36"/>
                <w:szCs w:val="36"/>
              </w:rPr>
            </w:pPr>
          </w:p>
        </w:tc>
        <w:tc>
          <w:tcPr>
            <w:tcW w:w="728" w:type="dxa"/>
            <w:vAlign w:val="top"/>
          </w:tcPr>
          <w:p>
            <w:pPr>
              <w:autoSpaceDE w:val="0"/>
              <w:autoSpaceDN w:val="0"/>
              <w:adjustRightInd w:val="0"/>
              <w:spacing w:line="400" w:lineRule="exact"/>
              <w:jc w:val="center"/>
              <w:rPr>
                <w:sz w:val="36"/>
                <w:szCs w:val="36"/>
              </w:rPr>
            </w:pPr>
          </w:p>
        </w:tc>
        <w:tc>
          <w:tcPr>
            <w:tcW w:w="742" w:type="dxa"/>
            <w:vAlign w:val="top"/>
          </w:tcPr>
          <w:p>
            <w:pPr>
              <w:autoSpaceDE w:val="0"/>
              <w:autoSpaceDN w:val="0"/>
              <w:adjustRightInd w:val="0"/>
              <w:spacing w:line="400" w:lineRule="exact"/>
              <w:jc w:val="center"/>
              <w:rPr>
                <w:sz w:val="36"/>
                <w:szCs w:val="36"/>
              </w:rPr>
            </w:pPr>
          </w:p>
        </w:tc>
        <w:tc>
          <w:tcPr>
            <w:tcW w:w="636" w:type="dxa"/>
            <w:vAlign w:val="top"/>
          </w:tcPr>
          <w:p>
            <w:pPr>
              <w:autoSpaceDE w:val="0"/>
              <w:autoSpaceDN w:val="0"/>
              <w:adjustRightInd w:val="0"/>
              <w:spacing w:line="400" w:lineRule="exact"/>
              <w:jc w:val="center"/>
              <w:rPr>
                <w:sz w:val="36"/>
                <w:szCs w:val="36"/>
              </w:rPr>
            </w:pPr>
          </w:p>
        </w:tc>
        <w:tc>
          <w:tcPr>
            <w:tcW w:w="836" w:type="dxa"/>
            <w:vAlign w:val="top"/>
          </w:tcPr>
          <w:p>
            <w:pPr>
              <w:autoSpaceDE w:val="0"/>
              <w:autoSpaceDN w:val="0"/>
              <w:adjustRightInd w:val="0"/>
              <w:spacing w:line="400" w:lineRule="exact"/>
              <w:jc w:val="center"/>
              <w:rPr>
                <w:sz w:val="36"/>
                <w:szCs w:val="36"/>
              </w:rPr>
            </w:pPr>
          </w:p>
        </w:tc>
        <w:tc>
          <w:tcPr>
            <w:tcW w:w="1085" w:type="dxa"/>
            <w:vAlign w:val="top"/>
          </w:tcPr>
          <w:p>
            <w:pPr>
              <w:autoSpaceDE w:val="0"/>
              <w:autoSpaceDN w:val="0"/>
              <w:adjustRightInd w:val="0"/>
              <w:spacing w:line="400" w:lineRule="exact"/>
              <w:jc w:val="center"/>
              <w:rPr>
                <w:sz w:val="36"/>
                <w:szCs w:val="36"/>
              </w:rPr>
            </w:pPr>
          </w:p>
        </w:tc>
        <w:tc>
          <w:tcPr>
            <w:tcW w:w="1217" w:type="dxa"/>
            <w:vAlign w:val="top"/>
          </w:tcPr>
          <w:p>
            <w:pPr>
              <w:autoSpaceDE w:val="0"/>
              <w:autoSpaceDN w:val="0"/>
              <w:adjustRightInd w:val="0"/>
              <w:spacing w:line="400" w:lineRule="exact"/>
              <w:jc w:val="center"/>
              <w:rPr>
                <w:sz w:val="36"/>
                <w:szCs w:val="36"/>
              </w:rPr>
            </w:pPr>
          </w:p>
        </w:tc>
        <w:tc>
          <w:tcPr>
            <w:tcW w:w="1046" w:type="dxa"/>
            <w:vAlign w:val="top"/>
          </w:tcPr>
          <w:p>
            <w:pPr>
              <w:autoSpaceDE w:val="0"/>
              <w:autoSpaceDN w:val="0"/>
              <w:adjustRightInd w:val="0"/>
              <w:spacing w:line="400" w:lineRule="exact"/>
              <w:jc w:val="center"/>
              <w:rPr>
                <w:sz w:val="36"/>
                <w:szCs w:val="36"/>
              </w:rPr>
            </w:pPr>
          </w:p>
        </w:tc>
        <w:tc>
          <w:tcPr>
            <w:tcW w:w="1155" w:type="dxa"/>
            <w:vAlign w:val="top"/>
          </w:tcPr>
          <w:p>
            <w:pPr>
              <w:autoSpaceDE w:val="0"/>
              <w:autoSpaceDN w:val="0"/>
              <w:adjustRightInd w:val="0"/>
              <w:spacing w:line="400" w:lineRule="exact"/>
              <w:jc w:val="center"/>
              <w:rPr>
                <w:sz w:val="36"/>
                <w:szCs w:val="36"/>
              </w:rPr>
            </w:pPr>
          </w:p>
        </w:tc>
        <w:tc>
          <w:tcPr>
            <w:tcW w:w="743" w:type="dxa"/>
            <w:vAlign w:val="top"/>
          </w:tcPr>
          <w:p>
            <w:pPr>
              <w:autoSpaceDE w:val="0"/>
              <w:autoSpaceDN w:val="0"/>
              <w:adjustRightInd w:val="0"/>
              <w:spacing w:line="400" w:lineRule="exact"/>
              <w:jc w:val="center"/>
              <w:rPr>
                <w:sz w:val="36"/>
                <w:szCs w:val="36"/>
              </w:rPr>
            </w:pPr>
          </w:p>
        </w:tc>
        <w:tc>
          <w:tcPr>
            <w:tcW w:w="1571" w:type="dxa"/>
            <w:vAlign w:val="top"/>
          </w:tcPr>
          <w:p>
            <w:pPr>
              <w:autoSpaceDE w:val="0"/>
              <w:autoSpaceDN w:val="0"/>
              <w:adjustRightInd w:val="0"/>
              <w:spacing w:line="400" w:lineRule="exact"/>
              <w:jc w:val="cente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610" w:type="dxa"/>
            <w:vAlign w:val="top"/>
          </w:tcPr>
          <w:p>
            <w:pPr>
              <w:autoSpaceDE w:val="0"/>
              <w:autoSpaceDN w:val="0"/>
              <w:adjustRightInd w:val="0"/>
              <w:spacing w:line="400" w:lineRule="exact"/>
              <w:jc w:val="center"/>
              <w:rPr>
                <w:sz w:val="36"/>
                <w:szCs w:val="36"/>
              </w:rPr>
            </w:pPr>
          </w:p>
        </w:tc>
        <w:tc>
          <w:tcPr>
            <w:tcW w:w="612" w:type="dxa"/>
            <w:vAlign w:val="top"/>
          </w:tcPr>
          <w:p>
            <w:pPr>
              <w:autoSpaceDE w:val="0"/>
              <w:autoSpaceDN w:val="0"/>
              <w:adjustRightInd w:val="0"/>
              <w:spacing w:line="400" w:lineRule="exact"/>
              <w:jc w:val="center"/>
              <w:rPr>
                <w:sz w:val="36"/>
                <w:szCs w:val="36"/>
              </w:rPr>
            </w:pPr>
          </w:p>
        </w:tc>
        <w:tc>
          <w:tcPr>
            <w:tcW w:w="2245" w:type="dxa"/>
            <w:vAlign w:val="top"/>
          </w:tcPr>
          <w:p>
            <w:pPr>
              <w:autoSpaceDE w:val="0"/>
              <w:autoSpaceDN w:val="0"/>
              <w:adjustRightInd w:val="0"/>
              <w:spacing w:line="400" w:lineRule="exact"/>
              <w:jc w:val="center"/>
              <w:rPr>
                <w:sz w:val="36"/>
                <w:szCs w:val="36"/>
              </w:rPr>
            </w:pPr>
          </w:p>
        </w:tc>
        <w:tc>
          <w:tcPr>
            <w:tcW w:w="1114" w:type="dxa"/>
            <w:vAlign w:val="top"/>
          </w:tcPr>
          <w:p>
            <w:pPr>
              <w:autoSpaceDE w:val="0"/>
              <w:autoSpaceDN w:val="0"/>
              <w:adjustRightInd w:val="0"/>
              <w:spacing w:line="400" w:lineRule="exact"/>
              <w:jc w:val="center"/>
              <w:rPr>
                <w:sz w:val="36"/>
                <w:szCs w:val="36"/>
              </w:rPr>
            </w:pPr>
          </w:p>
        </w:tc>
        <w:tc>
          <w:tcPr>
            <w:tcW w:w="728" w:type="dxa"/>
            <w:vAlign w:val="top"/>
          </w:tcPr>
          <w:p>
            <w:pPr>
              <w:autoSpaceDE w:val="0"/>
              <w:autoSpaceDN w:val="0"/>
              <w:adjustRightInd w:val="0"/>
              <w:spacing w:line="400" w:lineRule="exact"/>
              <w:jc w:val="center"/>
              <w:rPr>
                <w:sz w:val="36"/>
                <w:szCs w:val="36"/>
              </w:rPr>
            </w:pPr>
          </w:p>
        </w:tc>
        <w:tc>
          <w:tcPr>
            <w:tcW w:w="742" w:type="dxa"/>
            <w:vAlign w:val="top"/>
          </w:tcPr>
          <w:p>
            <w:pPr>
              <w:autoSpaceDE w:val="0"/>
              <w:autoSpaceDN w:val="0"/>
              <w:adjustRightInd w:val="0"/>
              <w:spacing w:line="400" w:lineRule="exact"/>
              <w:jc w:val="center"/>
              <w:rPr>
                <w:sz w:val="36"/>
                <w:szCs w:val="36"/>
              </w:rPr>
            </w:pPr>
          </w:p>
        </w:tc>
        <w:tc>
          <w:tcPr>
            <w:tcW w:w="636" w:type="dxa"/>
            <w:vAlign w:val="top"/>
          </w:tcPr>
          <w:p>
            <w:pPr>
              <w:autoSpaceDE w:val="0"/>
              <w:autoSpaceDN w:val="0"/>
              <w:adjustRightInd w:val="0"/>
              <w:spacing w:line="400" w:lineRule="exact"/>
              <w:jc w:val="center"/>
              <w:rPr>
                <w:sz w:val="36"/>
                <w:szCs w:val="36"/>
              </w:rPr>
            </w:pPr>
          </w:p>
        </w:tc>
        <w:tc>
          <w:tcPr>
            <w:tcW w:w="836" w:type="dxa"/>
            <w:vAlign w:val="top"/>
          </w:tcPr>
          <w:p>
            <w:pPr>
              <w:autoSpaceDE w:val="0"/>
              <w:autoSpaceDN w:val="0"/>
              <w:adjustRightInd w:val="0"/>
              <w:spacing w:line="400" w:lineRule="exact"/>
              <w:jc w:val="center"/>
              <w:rPr>
                <w:sz w:val="36"/>
                <w:szCs w:val="36"/>
              </w:rPr>
            </w:pPr>
          </w:p>
        </w:tc>
        <w:tc>
          <w:tcPr>
            <w:tcW w:w="1085" w:type="dxa"/>
            <w:vAlign w:val="top"/>
          </w:tcPr>
          <w:p>
            <w:pPr>
              <w:autoSpaceDE w:val="0"/>
              <w:autoSpaceDN w:val="0"/>
              <w:adjustRightInd w:val="0"/>
              <w:spacing w:line="400" w:lineRule="exact"/>
              <w:jc w:val="center"/>
              <w:rPr>
                <w:sz w:val="36"/>
                <w:szCs w:val="36"/>
              </w:rPr>
            </w:pPr>
          </w:p>
        </w:tc>
        <w:tc>
          <w:tcPr>
            <w:tcW w:w="1217" w:type="dxa"/>
            <w:vAlign w:val="top"/>
          </w:tcPr>
          <w:p>
            <w:pPr>
              <w:autoSpaceDE w:val="0"/>
              <w:autoSpaceDN w:val="0"/>
              <w:adjustRightInd w:val="0"/>
              <w:spacing w:line="400" w:lineRule="exact"/>
              <w:jc w:val="center"/>
              <w:rPr>
                <w:sz w:val="36"/>
                <w:szCs w:val="36"/>
              </w:rPr>
            </w:pPr>
          </w:p>
        </w:tc>
        <w:tc>
          <w:tcPr>
            <w:tcW w:w="1046" w:type="dxa"/>
            <w:vAlign w:val="top"/>
          </w:tcPr>
          <w:p>
            <w:pPr>
              <w:autoSpaceDE w:val="0"/>
              <w:autoSpaceDN w:val="0"/>
              <w:adjustRightInd w:val="0"/>
              <w:spacing w:line="400" w:lineRule="exact"/>
              <w:jc w:val="center"/>
              <w:rPr>
                <w:sz w:val="36"/>
                <w:szCs w:val="36"/>
              </w:rPr>
            </w:pPr>
          </w:p>
        </w:tc>
        <w:tc>
          <w:tcPr>
            <w:tcW w:w="1155" w:type="dxa"/>
            <w:vAlign w:val="top"/>
          </w:tcPr>
          <w:p>
            <w:pPr>
              <w:autoSpaceDE w:val="0"/>
              <w:autoSpaceDN w:val="0"/>
              <w:adjustRightInd w:val="0"/>
              <w:spacing w:line="400" w:lineRule="exact"/>
              <w:jc w:val="center"/>
              <w:rPr>
                <w:sz w:val="36"/>
                <w:szCs w:val="36"/>
              </w:rPr>
            </w:pPr>
          </w:p>
        </w:tc>
        <w:tc>
          <w:tcPr>
            <w:tcW w:w="743" w:type="dxa"/>
            <w:vAlign w:val="top"/>
          </w:tcPr>
          <w:p>
            <w:pPr>
              <w:autoSpaceDE w:val="0"/>
              <w:autoSpaceDN w:val="0"/>
              <w:adjustRightInd w:val="0"/>
              <w:spacing w:line="400" w:lineRule="exact"/>
              <w:jc w:val="center"/>
              <w:rPr>
                <w:sz w:val="36"/>
                <w:szCs w:val="36"/>
              </w:rPr>
            </w:pPr>
          </w:p>
        </w:tc>
        <w:tc>
          <w:tcPr>
            <w:tcW w:w="1571" w:type="dxa"/>
            <w:vAlign w:val="top"/>
          </w:tcPr>
          <w:p>
            <w:pPr>
              <w:autoSpaceDE w:val="0"/>
              <w:autoSpaceDN w:val="0"/>
              <w:adjustRightInd w:val="0"/>
              <w:spacing w:line="400" w:lineRule="exact"/>
              <w:jc w:val="cente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610" w:type="dxa"/>
            <w:vAlign w:val="top"/>
          </w:tcPr>
          <w:p>
            <w:pPr>
              <w:autoSpaceDE w:val="0"/>
              <w:autoSpaceDN w:val="0"/>
              <w:adjustRightInd w:val="0"/>
              <w:spacing w:line="400" w:lineRule="exact"/>
              <w:jc w:val="center"/>
              <w:rPr>
                <w:sz w:val="36"/>
                <w:szCs w:val="36"/>
              </w:rPr>
            </w:pPr>
          </w:p>
        </w:tc>
        <w:tc>
          <w:tcPr>
            <w:tcW w:w="612" w:type="dxa"/>
            <w:vAlign w:val="top"/>
          </w:tcPr>
          <w:p>
            <w:pPr>
              <w:autoSpaceDE w:val="0"/>
              <w:autoSpaceDN w:val="0"/>
              <w:adjustRightInd w:val="0"/>
              <w:spacing w:line="400" w:lineRule="exact"/>
              <w:jc w:val="center"/>
              <w:rPr>
                <w:sz w:val="36"/>
                <w:szCs w:val="36"/>
              </w:rPr>
            </w:pPr>
          </w:p>
        </w:tc>
        <w:tc>
          <w:tcPr>
            <w:tcW w:w="2245" w:type="dxa"/>
            <w:vAlign w:val="top"/>
          </w:tcPr>
          <w:p>
            <w:pPr>
              <w:autoSpaceDE w:val="0"/>
              <w:autoSpaceDN w:val="0"/>
              <w:adjustRightInd w:val="0"/>
              <w:spacing w:line="400" w:lineRule="exact"/>
              <w:jc w:val="center"/>
              <w:rPr>
                <w:sz w:val="36"/>
                <w:szCs w:val="36"/>
              </w:rPr>
            </w:pPr>
          </w:p>
        </w:tc>
        <w:tc>
          <w:tcPr>
            <w:tcW w:w="1114" w:type="dxa"/>
            <w:vAlign w:val="top"/>
          </w:tcPr>
          <w:p>
            <w:pPr>
              <w:autoSpaceDE w:val="0"/>
              <w:autoSpaceDN w:val="0"/>
              <w:adjustRightInd w:val="0"/>
              <w:spacing w:line="400" w:lineRule="exact"/>
              <w:jc w:val="center"/>
              <w:rPr>
                <w:sz w:val="36"/>
                <w:szCs w:val="36"/>
              </w:rPr>
            </w:pPr>
          </w:p>
        </w:tc>
        <w:tc>
          <w:tcPr>
            <w:tcW w:w="728" w:type="dxa"/>
            <w:vAlign w:val="top"/>
          </w:tcPr>
          <w:p>
            <w:pPr>
              <w:autoSpaceDE w:val="0"/>
              <w:autoSpaceDN w:val="0"/>
              <w:adjustRightInd w:val="0"/>
              <w:spacing w:line="400" w:lineRule="exact"/>
              <w:jc w:val="center"/>
              <w:rPr>
                <w:sz w:val="36"/>
                <w:szCs w:val="36"/>
              </w:rPr>
            </w:pPr>
          </w:p>
        </w:tc>
        <w:tc>
          <w:tcPr>
            <w:tcW w:w="742" w:type="dxa"/>
            <w:vAlign w:val="top"/>
          </w:tcPr>
          <w:p>
            <w:pPr>
              <w:autoSpaceDE w:val="0"/>
              <w:autoSpaceDN w:val="0"/>
              <w:adjustRightInd w:val="0"/>
              <w:spacing w:line="400" w:lineRule="exact"/>
              <w:jc w:val="center"/>
              <w:rPr>
                <w:sz w:val="36"/>
                <w:szCs w:val="36"/>
              </w:rPr>
            </w:pPr>
          </w:p>
        </w:tc>
        <w:tc>
          <w:tcPr>
            <w:tcW w:w="636" w:type="dxa"/>
            <w:vAlign w:val="top"/>
          </w:tcPr>
          <w:p>
            <w:pPr>
              <w:autoSpaceDE w:val="0"/>
              <w:autoSpaceDN w:val="0"/>
              <w:adjustRightInd w:val="0"/>
              <w:spacing w:line="400" w:lineRule="exact"/>
              <w:jc w:val="center"/>
              <w:rPr>
                <w:sz w:val="36"/>
                <w:szCs w:val="36"/>
              </w:rPr>
            </w:pPr>
          </w:p>
        </w:tc>
        <w:tc>
          <w:tcPr>
            <w:tcW w:w="836" w:type="dxa"/>
            <w:vAlign w:val="top"/>
          </w:tcPr>
          <w:p>
            <w:pPr>
              <w:autoSpaceDE w:val="0"/>
              <w:autoSpaceDN w:val="0"/>
              <w:adjustRightInd w:val="0"/>
              <w:spacing w:line="400" w:lineRule="exact"/>
              <w:jc w:val="center"/>
              <w:rPr>
                <w:sz w:val="36"/>
                <w:szCs w:val="36"/>
              </w:rPr>
            </w:pPr>
          </w:p>
        </w:tc>
        <w:tc>
          <w:tcPr>
            <w:tcW w:w="1085" w:type="dxa"/>
            <w:vAlign w:val="top"/>
          </w:tcPr>
          <w:p>
            <w:pPr>
              <w:autoSpaceDE w:val="0"/>
              <w:autoSpaceDN w:val="0"/>
              <w:adjustRightInd w:val="0"/>
              <w:spacing w:line="400" w:lineRule="exact"/>
              <w:jc w:val="center"/>
              <w:rPr>
                <w:sz w:val="36"/>
                <w:szCs w:val="36"/>
              </w:rPr>
            </w:pPr>
          </w:p>
        </w:tc>
        <w:tc>
          <w:tcPr>
            <w:tcW w:w="1217" w:type="dxa"/>
            <w:vAlign w:val="top"/>
          </w:tcPr>
          <w:p>
            <w:pPr>
              <w:autoSpaceDE w:val="0"/>
              <w:autoSpaceDN w:val="0"/>
              <w:adjustRightInd w:val="0"/>
              <w:spacing w:line="400" w:lineRule="exact"/>
              <w:jc w:val="center"/>
              <w:rPr>
                <w:sz w:val="36"/>
                <w:szCs w:val="36"/>
              </w:rPr>
            </w:pPr>
          </w:p>
        </w:tc>
        <w:tc>
          <w:tcPr>
            <w:tcW w:w="1046" w:type="dxa"/>
            <w:vAlign w:val="top"/>
          </w:tcPr>
          <w:p>
            <w:pPr>
              <w:autoSpaceDE w:val="0"/>
              <w:autoSpaceDN w:val="0"/>
              <w:adjustRightInd w:val="0"/>
              <w:spacing w:line="400" w:lineRule="exact"/>
              <w:jc w:val="center"/>
              <w:rPr>
                <w:sz w:val="36"/>
                <w:szCs w:val="36"/>
              </w:rPr>
            </w:pPr>
          </w:p>
        </w:tc>
        <w:tc>
          <w:tcPr>
            <w:tcW w:w="1155" w:type="dxa"/>
            <w:vAlign w:val="top"/>
          </w:tcPr>
          <w:p>
            <w:pPr>
              <w:autoSpaceDE w:val="0"/>
              <w:autoSpaceDN w:val="0"/>
              <w:adjustRightInd w:val="0"/>
              <w:spacing w:line="400" w:lineRule="exact"/>
              <w:jc w:val="center"/>
              <w:rPr>
                <w:sz w:val="36"/>
                <w:szCs w:val="36"/>
              </w:rPr>
            </w:pPr>
          </w:p>
        </w:tc>
        <w:tc>
          <w:tcPr>
            <w:tcW w:w="743" w:type="dxa"/>
            <w:vAlign w:val="top"/>
          </w:tcPr>
          <w:p>
            <w:pPr>
              <w:autoSpaceDE w:val="0"/>
              <w:autoSpaceDN w:val="0"/>
              <w:adjustRightInd w:val="0"/>
              <w:spacing w:line="400" w:lineRule="exact"/>
              <w:jc w:val="center"/>
              <w:rPr>
                <w:sz w:val="36"/>
                <w:szCs w:val="36"/>
              </w:rPr>
            </w:pPr>
          </w:p>
        </w:tc>
        <w:tc>
          <w:tcPr>
            <w:tcW w:w="1571" w:type="dxa"/>
            <w:vAlign w:val="top"/>
          </w:tcPr>
          <w:p>
            <w:pPr>
              <w:autoSpaceDE w:val="0"/>
              <w:autoSpaceDN w:val="0"/>
              <w:adjustRightInd w:val="0"/>
              <w:spacing w:line="400" w:lineRule="exact"/>
              <w:jc w:val="cente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610" w:type="dxa"/>
            <w:vAlign w:val="top"/>
          </w:tcPr>
          <w:p>
            <w:pPr>
              <w:autoSpaceDE w:val="0"/>
              <w:autoSpaceDN w:val="0"/>
              <w:adjustRightInd w:val="0"/>
              <w:spacing w:line="400" w:lineRule="exact"/>
              <w:jc w:val="center"/>
              <w:rPr>
                <w:sz w:val="36"/>
                <w:szCs w:val="36"/>
              </w:rPr>
            </w:pPr>
          </w:p>
        </w:tc>
        <w:tc>
          <w:tcPr>
            <w:tcW w:w="612" w:type="dxa"/>
            <w:vAlign w:val="top"/>
          </w:tcPr>
          <w:p>
            <w:pPr>
              <w:autoSpaceDE w:val="0"/>
              <w:autoSpaceDN w:val="0"/>
              <w:adjustRightInd w:val="0"/>
              <w:spacing w:line="400" w:lineRule="exact"/>
              <w:jc w:val="center"/>
              <w:rPr>
                <w:sz w:val="36"/>
                <w:szCs w:val="36"/>
              </w:rPr>
            </w:pPr>
          </w:p>
        </w:tc>
        <w:tc>
          <w:tcPr>
            <w:tcW w:w="2245" w:type="dxa"/>
            <w:vAlign w:val="top"/>
          </w:tcPr>
          <w:p>
            <w:pPr>
              <w:autoSpaceDE w:val="0"/>
              <w:autoSpaceDN w:val="0"/>
              <w:adjustRightInd w:val="0"/>
              <w:spacing w:line="400" w:lineRule="exact"/>
              <w:jc w:val="center"/>
              <w:rPr>
                <w:sz w:val="36"/>
                <w:szCs w:val="36"/>
              </w:rPr>
            </w:pPr>
          </w:p>
        </w:tc>
        <w:tc>
          <w:tcPr>
            <w:tcW w:w="1114" w:type="dxa"/>
            <w:vAlign w:val="top"/>
          </w:tcPr>
          <w:p>
            <w:pPr>
              <w:autoSpaceDE w:val="0"/>
              <w:autoSpaceDN w:val="0"/>
              <w:adjustRightInd w:val="0"/>
              <w:spacing w:line="400" w:lineRule="exact"/>
              <w:jc w:val="center"/>
              <w:rPr>
                <w:sz w:val="36"/>
                <w:szCs w:val="36"/>
              </w:rPr>
            </w:pPr>
          </w:p>
        </w:tc>
        <w:tc>
          <w:tcPr>
            <w:tcW w:w="728" w:type="dxa"/>
            <w:vAlign w:val="top"/>
          </w:tcPr>
          <w:p>
            <w:pPr>
              <w:autoSpaceDE w:val="0"/>
              <w:autoSpaceDN w:val="0"/>
              <w:adjustRightInd w:val="0"/>
              <w:spacing w:line="400" w:lineRule="exact"/>
              <w:jc w:val="center"/>
              <w:rPr>
                <w:sz w:val="36"/>
                <w:szCs w:val="36"/>
              </w:rPr>
            </w:pPr>
          </w:p>
        </w:tc>
        <w:tc>
          <w:tcPr>
            <w:tcW w:w="742" w:type="dxa"/>
            <w:vAlign w:val="top"/>
          </w:tcPr>
          <w:p>
            <w:pPr>
              <w:autoSpaceDE w:val="0"/>
              <w:autoSpaceDN w:val="0"/>
              <w:adjustRightInd w:val="0"/>
              <w:spacing w:line="400" w:lineRule="exact"/>
              <w:jc w:val="center"/>
              <w:rPr>
                <w:sz w:val="36"/>
                <w:szCs w:val="36"/>
              </w:rPr>
            </w:pPr>
          </w:p>
        </w:tc>
        <w:tc>
          <w:tcPr>
            <w:tcW w:w="636" w:type="dxa"/>
            <w:vAlign w:val="top"/>
          </w:tcPr>
          <w:p>
            <w:pPr>
              <w:autoSpaceDE w:val="0"/>
              <w:autoSpaceDN w:val="0"/>
              <w:adjustRightInd w:val="0"/>
              <w:spacing w:line="400" w:lineRule="exact"/>
              <w:jc w:val="center"/>
              <w:rPr>
                <w:sz w:val="36"/>
                <w:szCs w:val="36"/>
              </w:rPr>
            </w:pPr>
          </w:p>
        </w:tc>
        <w:tc>
          <w:tcPr>
            <w:tcW w:w="836" w:type="dxa"/>
            <w:vAlign w:val="top"/>
          </w:tcPr>
          <w:p>
            <w:pPr>
              <w:autoSpaceDE w:val="0"/>
              <w:autoSpaceDN w:val="0"/>
              <w:adjustRightInd w:val="0"/>
              <w:spacing w:line="400" w:lineRule="exact"/>
              <w:jc w:val="center"/>
              <w:rPr>
                <w:sz w:val="36"/>
                <w:szCs w:val="36"/>
              </w:rPr>
            </w:pPr>
          </w:p>
        </w:tc>
        <w:tc>
          <w:tcPr>
            <w:tcW w:w="1085" w:type="dxa"/>
            <w:vAlign w:val="top"/>
          </w:tcPr>
          <w:p>
            <w:pPr>
              <w:autoSpaceDE w:val="0"/>
              <w:autoSpaceDN w:val="0"/>
              <w:adjustRightInd w:val="0"/>
              <w:spacing w:line="400" w:lineRule="exact"/>
              <w:jc w:val="center"/>
              <w:rPr>
                <w:sz w:val="36"/>
                <w:szCs w:val="36"/>
              </w:rPr>
            </w:pPr>
          </w:p>
        </w:tc>
        <w:tc>
          <w:tcPr>
            <w:tcW w:w="1217" w:type="dxa"/>
            <w:vAlign w:val="top"/>
          </w:tcPr>
          <w:p>
            <w:pPr>
              <w:autoSpaceDE w:val="0"/>
              <w:autoSpaceDN w:val="0"/>
              <w:adjustRightInd w:val="0"/>
              <w:spacing w:line="400" w:lineRule="exact"/>
              <w:jc w:val="center"/>
              <w:rPr>
                <w:sz w:val="36"/>
                <w:szCs w:val="36"/>
              </w:rPr>
            </w:pPr>
          </w:p>
        </w:tc>
        <w:tc>
          <w:tcPr>
            <w:tcW w:w="1046" w:type="dxa"/>
            <w:vAlign w:val="top"/>
          </w:tcPr>
          <w:p>
            <w:pPr>
              <w:autoSpaceDE w:val="0"/>
              <w:autoSpaceDN w:val="0"/>
              <w:adjustRightInd w:val="0"/>
              <w:spacing w:line="400" w:lineRule="exact"/>
              <w:jc w:val="center"/>
              <w:rPr>
                <w:sz w:val="36"/>
                <w:szCs w:val="36"/>
              </w:rPr>
            </w:pPr>
          </w:p>
        </w:tc>
        <w:tc>
          <w:tcPr>
            <w:tcW w:w="1155" w:type="dxa"/>
            <w:vAlign w:val="top"/>
          </w:tcPr>
          <w:p>
            <w:pPr>
              <w:autoSpaceDE w:val="0"/>
              <w:autoSpaceDN w:val="0"/>
              <w:adjustRightInd w:val="0"/>
              <w:spacing w:line="400" w:lineRule="exact"/>
              <w:jc w:val="center"/>
              <w:rPr>
                <w:sz w:val="36"/>
                <w:szCs w:val="36"/>
              </w:rPr>
            </w:pPr>
          </w:p>
        </w:tc>
        <w:tc>
          <w:tcPr>
            <w:tcW w:w="743" w:type="dxa"/>
            <w:vAlign w:val="top"/>
          </w:tcPr>
          <w:p>
            <w:pPr>
              <w:autoSpaceDE w:val="0"/>
              <w:autoSpaceDN w:val="0"/>
              <w:adjustRightInd w:val="0"/>
              <w:spacing w:line="400" w:lineRule="exact"/>
              <w:jc w:val="center"/>
              <w:rPr>
                <w:sz w:val="36"/>
                <w:szCs w:val="36"/>
              </w:rPr>
            </w:pPr>
          </w:p>
        </w:tc>
        <w:tc>
          <w:tcPr>
            <w:tcW w:w="1571" w:type="dxa"/>
            <w:vAlign w:val="top"/>
          </w:tcPr>
          <w:p>
            <w:pPr>
              <w:autoSpaceDE w:val="0"/>
              <w:autoSpaceDN w:val="0"/>
              <w:adjustRightInd w:val="0"/>
              <w:spacing w:line="400" w:lineRule="exact"/>
              <w:jc w:val="cente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610" w:type="dxa"/>
            <w:vAlign w:val="top"/>
          </w:tcPr>
          <w:p>
            <w:pPr>
              <w:autoSpaceDE w:val="0"/>
              <w:autoSpaceDN w:val="0"/>
              <w:adjustRightInd w:val="0"/>
              <w:spacing w:line="400" w:lineRule="exact"/>
              <w:jc w:val="center"/>
              <w:rPr>
                <w:sz w:val="36"/>
                <w:szCs w:val="36"/>
              </w:rPr>
            </w:pPr>
          </w:p>
        </w:tc>
        <w:tc>
          <w:tcPr>
            <w:tcW w:w="612" w:type="dxa"/>
            <w:vAlign w:val="top"/>
          </w:tcPr>
          <w:p>
            <w:pPr>
              <w:autoSpaceDE w:val="0"/>
              <w:autoSpaceDN w:val="0"/>
              <w:adjustRightInd w:val="0"/>
              <w:spacing w:line="400" w:lineRule="exact"/>
              <w:jc w:val="center"/>
              <w:rPr>
                <w:sz w:val="36"/>
                <w:szCs w:val="36"/>
              </w:rPr>
            </w:pPr>
          </w:p>
        </w:tc>
        <w:tc>
          <w:tcPr>
            <w:tcW w:w="2245" w:type="dxa"/>
            <w:vAlign w:val="top"/>
          </w:tcPr>
          <w:p>
            <w:pPr>
              <w:autoSpaceDE w:val="0"/>
              <w:autoSpaceDN w:val="0"/>
              <w:adjustRightInd w:val="0"/>
              <w:spacing w:line="400" w:lineRule="exact"/>
              <w:jc w:val="center"/>
              <w:rPr>
                <w:sz w:val="36"/>
                <w:szCs w:val="36"/>
              </w:rPr>
            </w:pPr>
          </w:p>
        </w:tc>
        <w:tc>
          <w:tcPr>
            <w:tcW w:w="1114" w:type="dxa"/>
            <w:vAlign w:val="top"/>
          </w:tcPr>
          <w:p>
            <w:pPr>
              <w:autoSpaceDE w:val="0"/>
              <w:autoSpaceDN w:val="0"/>
              <w:adjustRightInd w:val="0"/>
              <w:spacing w:line="400" w:lineRule="exact"/>
              <w:jc w:val="center"/>
              <w:rPr>
                <w:sz w:val="36"/>
                <w:szCs w:val="36"/>
              </w:rPr>
            </w:pPr>
          </w:p>
        </w:tc>
        <w:tc>
          <w:tcPr>
            <w:tcW w:w="728" w:type="dxa"/>
            <w:vAlign w:val="top"/>
          </w:tcPr>
          <w:p>
            <w:pPr>
              <w:autoSpaceDE w:val="0"/>
              <w:autoSpaceDN w:val="0"/>
              <w:adjustRightInd w:val="0"/>
              <w:spacing w:line="400" w:lineRule="exact"/>
              <w:jc w:val="center"/>
              <w:rPr>
                <w:sz w:val="36"/>
                <w:szCs w:val="36"/>
              </w:rPr>
            </w:pPr>
          </w:p>
        </w:tc>
        <w:tc>
          <w:tcPr>
            <w:tcW w:w="742" w:type="dxa"/>
            <w:vAlign w:val="top"/>
          </w:tcPr>
          <w:p>
            <w:pPr>
              <w:autoSpaceDE w:val="0"/>
              <w:autoSpaceDN w:val="0"/>
              <w:adjustRightInd w:val="0"/>
              <w:spacing w:line="400" w:lineRule="exact"/>
              <w:jc w:val="center"/>
              <w:rPr>
                <w:sz w:val="36"/>
                <w:szCs w:val="36"/>
              </w:rPr>
            </w:pPr>
          </w:p>
        </w:tc>
        <w:tc>
          <w:tcPr>
            <w:tcW w:w="636" w:type="dxa"/>
            <w:vAlign w:val="top"/>
          </w:tcPr>
          <w:p>
            <w:pPr>
              <w:autoSpaceDE w:val="0"/>
              <w:autoSpaceDN w:val="0"/>
              <w:adjustRightInd w:val="0"/>
              <w:spacing w:line="400" w:lineRule="exact"/>
              <w:jc w:val="center"/>
              <w:rPr>
                <w:sz w:val="36"/>
                <w:szCs w:val="36"/>
              </w:rPr>
            </w:pPr>
          </w:p>
        </w:tc>
        <w:tc>
          <w:tcPr>
            <w:tcW w:w="836" w:type="dxa"/>
            <w:vAlign w:val="top"/>
          </w:tcPr>
          <w:p>
            <w:pPr>
              <w:autoSpaceDE w:val="0"/>
              <w:autoSpaceDN w:val="0"/>
              <w:adjustRightInd w:val="0"/>
              <w:spacing w:line="400" w:lineRule="exact"/>
              <w:jc w:val="center"/>
              <w:rPr>
                <w:sz w:val="36"/>
                <w:szCs w:val="36"/>
              </w:rPr>
            </w:pPr>
          </w:p>
        </w:tc>
        <w:tc>
          <w:tcPr>
            <w:tcW w:w="1085" w:type="dxa"/>
            <w:vAlign w:val="top"/>
          </w:tcPr>
          <w:p>
            <w:pPr>
              <w:autoSpaceDE w:val="0"/>
              <w:autoSpaceDN w:val="0"/>
              <w:adjustRightInd w:val="0"/>
              <w:spacing w:line="400" w:lineRule="exact"/>
              <w:jc w:val="center"/>
              <w:rPr>
                <w:sz w:val="36"/>
                <w:szCs w:val="36"/>
              </w:rPr>
            </w:pPr>
          </w:p>
        </w:tc>
        <w:tc>
          <w:tcPr>
            <w:tcW w:w="1217" w:type="dxa"/>
            <w:vAlign w:val="top"/>
          </w:tcPr>
          <w:p>
            <w:pPr>
              <w:autoSpaceDE w:val="0"/>
              <w:autoSpaceDN w:val="0"/>
              <w:adjustRightInd w:val="0"/>
              <w:spacing w:line="400" w:lineRule="exact"/>
              <w:jc w:val="center"/>
              <w:rPr>
                <w:sz w:val="36"/>
                <w:szCs w:val="36"/>
              </w:rPr>
            </w:pPr>
          </w:p>
        </w:tc>
        <w:tc>
          <w:tcPr>
            <w:tcW w:w="1046" w:type="dxa"/>
            <w:vAlign w:val="top"/>
          </w:tcPr>
          <w:p>
            <w:pPr>
              <w:autoSpaceDE w:val="0"/>
              <w:autoSpaceDN w:val="0"/>
              <w:adjustRightInd w:val="0"/>
              <w:spacing w:line="400" w:lineRule="exact"/>
              <w:jc w:val="center"/>
              <w:rPr>
                <w:sz w:val="36"/>
                <w:szCs w:val="36"/>
              </w:rPr>
            </w:pPr>
          </w:p>
        </w:tc>
        <w:tc>
          <w:tcPr>
            <w:tcW w:w="1155" w:type="dxa"/>
            <w:vAlign w:val="top"/>
          </w:tcPr>
          <w:p>
            <w:pPr>
              <w:autoSpaceDE w:val="0"/>
              <w:autoSpaceDN w:val="0"/>
              <w:adjustRightInd w:val="0"/>
              <w:spacing w:line="400" w:lineRule="exact"/>
              <w:jc w:val="center"/>
              <w:rPr>
                <w:sz w:val="36"/>
                <w:szCs w:val="36"/>
              </w:rPr>
            </w:pPr>
          </w:p>
        </w:tc>
        <w:tc>
          <w:tcPr>
            <w:tcW w:w="743" w:type="dxa"/>
            <w:vAlign w:val="top"/>
          </w:tcPr>
          <w:p>
            <w:pPr>
              <w:autoSpaceDE w:val="0"/>
              <w:autoSpaceDN w:val="0"/>
              <w:adjustRightInd w:val="0"/>
              <w:spacing w:line="400" w:lineRule="exact"/>
              <w:jc w:val="center"/>
              <w:rPr>
                <w:sz w:val="36"/>
                <w:szCs w:val="36"/>
              </w:rPr>
            </w:pPr>
          </w:p>
        </w:tc>
        <w:tc>
          <w:tcPr>
            <w:tcW w:w="1571" w:type="dxa"/>
            <w:vAlign w:val="top"/>
          </w:tcPr>
          <w:p>
            <w:pPr>
              <w:autoSpaceDE w:val="0"/>
              <w:autoSpaceDN w:val="0"/>
              <w:adjustRightInd w:val="0"/>
              <w:spacing w:line="400" w:lineRule="exact"/>
              <w:jc w:val="cente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610" w:type="dxa"/>
            <w:vAlign w:val="top"/>
          </w:tcPr>
          <w:p>
            <w:pPr>
              <w:autoSpaceDE w:val="0"/>
              <w:autoSpaceDN w:val="0"/>
              <w:adjustRightInd w:val="0"/>
              <w:spacing w:line="400" w:lineRule="exact"/>
              <w:jc w:val="center"/>
              <w:rPr>
                <w:sz w:val="36"/>
                <w:szCs w:val="36"/>
              </w:rPr>
            </w:pPr>
          </w:p>
        </w:tc>
        <w:tc>
          <w:tcPr>
            <w:tcW w:w="612" w:type="dxa"/>
            <w:vAlign w:val="top"/>
          </w:tcPr>
          <w:p>
            <w:pPr>
              <w:autoSpaceDE w:val="0"/>
              <w:autoSpaceDN w:val="0"/>
              <w:adjustRightInd w:val="0"/>
              <w:spacing w:line="400" w:lineRule="exact"/>
              <w:jc w:val="center"/>
              <w:rPr>
                <w:sz w:val="36"/>
                <w:szCs w:val="36"/>
              </w:rPr>
            </w:pPr>
          </w:p>
        </w:tc>
        <w:tc>
          <w:tcPr>
            <w:tcW w:w="2245" w:type="dxa"/>
            <w:vAlign w:val="top"/>
          </w:tcPr>
          <w:p>
            <w:pPr>
              <w:autoSpaceDE w:val="0"/>
              <w:autoSpaceDN w:val="0"/>
              <w:adjustRightInd w:val="0"/>
              <w:spacing w:line="400" w:lineRule="exact"/>
              <w:jc w:val="center"/>
              <w:rPr>
                <w:sz w:val="36"/>
                <w:szCs w:val="36"/>
              </w:rPr>
            </w:pPr>
          </w:p>
        </w:tc>
        <w:tc>
          <w:tcPr>
            <w:tcW w:w="1114" w:type="dxa"/>
            <w:vAlign w:val="top"/>
          </w:tcPr>
          <w:p>
            <w:pPr>
              <w:autoSpaceDE w:val="0"/>
              <w:autoSpaceDN w:val="0"/>
              <w:adjustRightInd w:val="0"/>
              <w:spacing w:line="400" w:lineRule="exact"/>
              <w:jc w:val="center"/>
              <w:rPr>
                <w:sz w:val="36"/>
                <w:szCs w:val="36"/>
              </w:rPr>
            </w:pPr>
          </w:p>
        </w:tc>
        <w:tc>
          <w:tcPr>
            <w:tcW w:w="728" w:type="dxa"/>
            <w:vAlign w:val="top"/>
          </w:tcPr>
          <w:p>
            <w:pPr>
              <w:autoSpaceDE w:val="0"/>
              <w:autoSpaceDN w:val="0"/>
              <w:adjustRightInd w:val="0"/>
              <w:spacing w:line="400" w:lineRule="exact"/>
              <w:jc w:val="center"/>
              <w:rPr>
                <w:sz w:val="36"/>
                <w:szCs w:val="36"/>
              </w:rPr>
            </w:pPr>
          </w:p>
        </w:tc>
        <w:tc>
          <w:tcPr>
            <w:tcW w:w="742" w:type="dxa"/>
            <w:vAlign w:val="top"/>
          </w:tcPr>
          <w:p>
            <w:pPr>
              <w:autoSpaceDE w:val="0"/>
              <w:autoSpaceDN w:val="0"/>
              <w:adjustRightInd w:val="0"/>
              <w:spacing w:line="400" w:lineRule="exact"/>
              <w:jc w:val="center"/>
              <w:rPr>
                <w:sz w:val="36"/>
                <w:szCs w:val="36"/>
              </w:rPr>
            </w:pPr>
          </w:p>
        </w:tc>
        <w:tc>
          <w:tcPr>
            <w:tcW w:w="636" w:type="dxa"/>
            <w:vAlign w:val="top"/>
          </w:tcPr>
          <w:p>
            <w:pPr>
              <w:autoSpaceDE w:val="0"/>
              <w:autoSpaceDN w:val="0"/>
              <w:adjustRightInd w:val="0"/>
              <w:spacing w:line="400" w:lineRule="exact"/>
              <w:jc w:val="center"/>
              <w:rPr>
                <w:sz w:val="36"/>
                <w:szCs w:val="36"/>
              </w:rPr>
            </w:pPr>
          </w:p>
        </w:tc>
        <w:tc>
          <w:tcPr>
            <w:tcW w:w="836" w:type="dxa"/>
            <w:vAlign w:val="top"/>
          </w:tcPr>
          <w:p>
            <w:pPr>
              <w:autoSpaceDE w:val="0"/>
              <w:autoSpaceDN w:val="0"/>
              <w:adjustRightInd w:val="0"/>
              <w:spacing w:line="400" w:lineRule="exact"/>
              <w:jc w:val="center"/>
              <w:rPr>
                <w:sz w:val="36"/>
                <w:szCs w:val="36"/>
              </w:rPr>
            </w:pPr>
          </w:p>
        </w:tc>
        <w:tc>
          <w:tcPr>
            <w:tcW w:w="1085" w:type="dxa"/>
            <w:vAlign w:val="top"/>
          </w:tcPr>
          <w:p>
            <w:pPr>
              <w:autoSpaceDE w:val="0"/>
              <w:autoSpaceDN w:val="0"/>
              <w:adjustRightInd w:val="0"/>
              <w:spacing w:line="400" w:lineRule="exact"/>
              <w:jc w:val="center"/>
              <w:rPr>
                <w:sz w:val="36"/>
                <w:szCs w:val="36"/>
              </w:rPr>
            </w:pPr>
          </w:p>
        </w:tc>
        <w:tc>
          <w:tcPr>
            <w:tcW w:w="1217" w:type="dxa"/>
            <w:vAlign w:val="top"/>
          </w:tcPr>
          <w:p>
            <w:pPr>
              <w:autoSpaceDE w:val="0"/>
              <w:autoSpaceDN w:val="0"/>
              <w:adjustRightInd w:val="0"/>
              <w:spacing w:line="400" w:lineRule="exact"/>
              <w:jc w:val="center"/>
              <w:rPr>
                <w:sz w:val="36"/>
                <w:szCs w:val="36"/>
              </w:rPr>
            </w:pPr>
          </w:p>
        </w:tc>
        <w:tc>
          <w:tcPr>
            <w:tcW w:w="1046" w:type="dxa"/>
            <w:vAlign w:val="top"/>
          </w:tcPr>
          <w:p>
            <w:pPr>
              <w:autoSpaceDE w:val="0"/>
              <w:autoSpaceDN w:val="0"/>
              <w:adjustRightInd w:val="0"/>
              <w:spacing w:line="400" w:lineRule="exact"/>
              <w:jc w:val="center"/>
              <w:rPr>
                <w:sz w:val="36"/>
                <w:szCs w:val="36"/>
              </w:rPr>
            </w:pPr>
          </w:p>
        </w:tc>
        <w:tc>
          <w:tcPr>
            <w:tcW w:w="1155" w:type="dxa"/>
            <w:vAlign w:val="top"/>
          </w:tcPr>
          <w:p>
            <w:pPr>
              <w:autoSpaceDE w:val="0"/>
              <w:autoSpaceDN w:val="0"/>
              <w:adjustRightInd w:val="0"/>
              <w:spacing w:line="400" w:lineRule="exact"/>
              <w:jc w:val="center"/>
              <w:rPr>
                <w:sz w:val="36"/>
                <w:szCs w:val="36"/>
              </w:rPr>
            </w:pPr>
          </w:p>
        </w:tc>
        <w:tc>
          <w:tcPr>
            <w:tcW w:w="743" w:type="dxa"/>
            <w:vAlign w:val="top"/>
          </w:tcPr>
          <w:p>
            <w:pPr>
              <w:autoSpaceDE w:val="0"/>
              <w:autoSpaceDN w:val="0"/>
              <w:adjustRightInd w:val="0"/>
              <w:spacing w:line="400" w:lineRule="exact"/>
              <w:jc w:val="center"/>
              <w:rPr>
                <w:sz w:val="36"/>
                <w:szCs w:val="36"/>
              </w:rPr>
            </w:pPr>
          </w:p>
        </w:tc>
        <w:tc>
          <w:tcPr>
            <w:tcW w:w="1571" w:type="dxa"/>
            <w:vAlign w:val="top"/>
          </w:tcPr>
          <w:p>
            <w:pPr>
              <w:autoSpaceDE w:val="0"/>
              <w:autoSpaceDN w:val="0"/>
              <w:adjustRightInd w:val="0"/>
              <w:spacing w:line="400" w:lineRule="exact"/>
              <w:jc w:val="cente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jc w:val="center"/>
        </w:trPr>
        <w:tc>
          <w:tcPr>
            <w:tcW w:w="610" w:type="dxa"/>
            <w:vAlign w:val="top"/>
          </w:tcPr>
          <w:p>
            <w:pPr>
              <w:autoSpaceDE w:val="0"/>
              <w:autoSpaceDN w:val="0"/>
              <w:adjustRightInd w:val="0"/>
              <w:spacing w:line="400" w:lineRule="exact"/>
              <w:jc w:val="center"/>
              <w:rPr>
                <w:sz w:val="36"/>
                <w:szCs w:val="36"/>
              </w:rPr>
            </w:pPr>
          </w:p>
        </w:tc>
        <w:tc>
          <w:tcPr>
            <w:tcW w:w="612" w:type="dxa"/>
            <w:vAlign w:val="top"/>
          </w:tcPr>
          <w:p>
            <w:pPr>
              <w:autoSpaceDE w:val="0"/>
              <w:autoSpaceDN w:val="0"/>
              <w:adjustRightInd w:val="0"/>
              <w:spacing w:line="400" w:lineRule="exact"/>
              <w:jc w:val="center"/>
              <w:rPr>
                <w:sz w:val="36"/>
                <w:szCs w:val="36"/>
              </w:rPr>
            </w:pPr>
          </w:p>
        </w:tc>
        <w:tc>
          <w:tcPr>
            <w:tcW w:w="2245" w:type="dxa"/>
            <w:vAlign w:val="top"/>
          </w:tcPr>
          <w:p>
            <w:pPr>
              <w:autoSpaceDE w:val="0"/>
              <w:autoSpaceDN w:val="0"/>
              <w:adjustRightInd w:val="0"/>
              <w:spacing w:line="400" w:lineRule="exact"/>
              <w:jc w:val="center"/>
              <w:rPr>
                <w:sz w:val="36"/>
                <w:szCs w:val="36"/>
              </w:rPr>
            </w:pPr>
          </w:p>
        </w:tc>
        <w:tc>
          <w:tcPr>
            <w:tcW w:w="1114" w:type="dxa"/>
            <w:vAlign w:val="top"/>
          </w:tcPr>
          <w:p>
            <w:pPr>
              <w:autoSpaceDE w:val="0"/>
              <w:autoSpaceDN w:val="0"/>
              <w:adjustRightInd w:val="0"/>
              <w:spacing w:line="400" w:lineRule="exact"/>
              <w:jc w:val="center"/>
              <w:rPr>
                <w:sz w:val="36"/>
                <w:szCs w:val="36"/>
              </w:rPr>
            </w:pPr>
          </w:p>
        </w:tc>
        <w:tc>
          <w:tcPr>
            <w:tcW w:w="728" w:type="dxa"/>
            <w:vAlign w:val="top"/>
          </w:tcPr>
          <w:p>
            <w:pPr>
              <w:autoSpaceDE w:val="0"/>
              <w:autoSpaceDN w:val="0"/>
              <w:adjustRightInd w:val="0"/>
              <w:spacing w:line="400" w:lineRule="exact"/>
              <w:jc w:val="center"/>
              <w:rPr>
                <w:sz w:val="36"/>
                <w:szCs w:val="36"/>
              </w:rPr>
            </w:pPr>
          </w:p>
        </w:tc>
        <w:tc>
          <w:tcPr>
            <w:tcW w:w="742" w:type="dxa"/>
            <w:vAlign w:val="top"/>
          </w:tcPr>
          <w:p>
            <w:pPr>
              <w:autoSpaceDE w:val="0"/>
              <w:autoSpaceDN w:val="0"/>
              <w:adjustRightInd w:val="0"/>
              <w:spacing w:line="400" w:lineRule="exact"/>
              <w:jc w:val="center"/>
              <w:rPr>
                <w:sz w:val="36"/>
                <w:szCs w:val="36"/>
              </w:rPr>
            </w:pPr>
          </w:p>
        </w:tc>
        <w:tc>
          <w:tcPr>
            <w:tcW w:w="636" w:type="dxa"/>
            <w:vAlign w:val="top"/>
          </w:tcPr>
          <w:p>
            <w:pPr>
              <w:autoSpaceDE w:val="0"/>
              <w:autoSpaceDN w:val="0"/>
              <w:adjustRightInd w:val="0"/>
              <w:spacing w:line="400" w:lineRule="exact"/>
              <w:jc w:val="center"/>
              <w:rPr>
                <w:sz w:val="36"/>
                <w:szCs w:val="36"/>
              </w:rPr>
            </w:pPr>
          </w:p>
        </w:tc>
        <w:tc>
          <w:tcPr>
            <w:tcW w:w="836" w:type="dxa"/>
            <w:vAlign w:val="top"/>
          </w:tcPr>
          <w:p>
            <w:pPr>
              <w:autoSpaceDE w:val="0"/>
              <w:autoSpaceDN w:val="0"/>
              <w:adjustRightInd w:val="0"/>
              <w:spacing w:line="400" w:lineRule="exact"/>
              <w:jc w:val="center"/>
              <w:rPr>
                <w:sz w:val="36"/>
                <w:szCs w:val="36"/>
              </w:rPr>
            </w:pPr>
          </w:p>
        </w:tc>
        <w:tc>
          <w:tcPr>
            <w:tcW w:w="1085" w:type="dxa"/>
            <w:vAlign w:val="top"/>
          </w:tcPr>
          <w:p>
            <w:pPr>
              <w:autoSpaceDE w:val="0"/>
              <w:autoSpaceDN w:val="0"/>
              <w:adjustRightInd w:val="0"/>
              <w:spacing w:line="400" w:lineRule="exact"/>
              <w:jc w:val="center"/>
              <w:rPr>
                <w:sz w:val="36"/>
                <w:szCs w:val="36"/>
              </w:rPr>
            </w:pPr>
          </w:p>
        </w:tc>
        <w:tc>
          <w:tcPr>
            <w:tcW w:w="1217" w:type="dxa"/>
            <w:vAlign w:val="top"/>
          </w:tcPr>
          <w:p>
            <w:pPr>
              <w:autoSpaceDE w:val="0"/>
              <w:autoSpaceDN w:val="0"/>
              <w:adjustRightInd w:val="0"/>
              <w:spacing w:line="400" w:lineRule="exact"/>
              <w:jc w:val="center"/>
              <w:rPr>
                <w:sz w:val="36"/>
                <w:szCs w:val="36"/>
              </w:rPr>
            </w:pPr>
          </w:p>
        </w:tc>
        <w:tc>
          <w:tcPr>
            <w:tcW w:w="1046" w:type="dxa"/>
            <w:vAlign w:val="top"/>
          </w:tcPr>
          <w:p>
            <w:pPr>
              <w:autoSpaceDE w:val="0"/>
              <w:autoSpaceDN w:val="0"/>
              <w:adjustRightInd w:val="0"/>
              <w:spacing w:line="400" w:lineRule="exact"/>
              <w:jc w:val="center"/>
              <w:rPr>
                <w:sz w:val="36"/>
                <w:szCs w:val="36"/>
              </w:rPr>
            </w:pPr>
          </w:p>
        </w:tc>
        <w:tc>
          <w:tcPr>
            <w:tcW w:w="1155" w:type="dxa"/>
            <w:vAlign w:val="top"/>
          </w:tcPr>
          <w:p>
            <w:pPr>
              <w:autoSpaceDE w:val="0"/>
              <w:autoSpaceDN w:val="0"/>
              <w:adjustRightInd w:val="0"/>
              <w:spacing w:line="400" w:lineRule="exact"/>
              <w:jc w:val="center"/>
              <w:rPr>
                <w:sz w:val="36"/>
                <w:szCs w:val="36"/>
              </w:rPr>
            </w:pPr>
          </w:p>
        </w:tc>
        <w:tc>
          <w:tcPr>
            <w:tcW w:w="743" w:type="dxa"/>
            <w:vAlign w:val="top"/>
          </w:tcPr>
          <w:p>
            <w:pPr>
              <w:autoSpaceDE w:val="0"/>
              <w:autoSpaceDN w:val="0"/>
              <w:adjustRightInd w:val="0"/>
              <w:spacing w:line="400" w:lineRule="exact"/>
              <w:jc w:val="center"/>
              <w:rPr>
                <w:sz w:val="36"/>
                <w:szCs w:val="36"/>
              </w:rPr>
            </w:pPr>
          </w:p>
        </w:tc>
        <w:tc>
          <w:tcPr>
            <w:tcW w:w="1571" w:type="dxa"/>
            <w:vAlign w:val="top"/>
          </w:tcPr>
          <w:p>
            <w:pPr>
              <w:autoSpaceDE w:val="0"/>
              <w:autoSpaceDN w:val="0"/>
              <w:adjustRightInd w:val="0"/>
              <w:spacing w:line="400" w:lineRule="exact"/>
              <w:jc w:val="cente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exact"/>
          <w:jc w:val="center"/>
        </w:trPr>
        <w:tc>
          <w:tcPr>
            <w:tcW w:w="610" w:type="dxa"/>
            <w:vAlign w:val="top"/>
          </w:tcPr>
          <w:p>
            <w:pPr>
              <w:autoSpaceDE w:val="0"/>
              <w:autoSpaceDN w:val="0"/>
              <w:adjustRightInd w:val="0"/>
              <w:spacing w:line="400" w:lineRule="exact"/>
              <w:jc w:val="center"/>
              <w:rPr>
                <w:sz w:val="36"/>
                <w:szCs w:val="36"/>
              </w:rPr>
            </w:pPr>
          </w:p>
        </w:tc>
        <w:tc>
          <w:tcPr>
            <w:tcW w:w="612" w:type="dxa"/>
            <w:vAlign w:val="top"/>
          </w:tcPr>
          <w:p>
            <w:pPr>
              <w:autoSpaceDE w:val="0"/>
              <w:autoSpaceDN w:val="0"/>
              <w:adjustRightInd w:val="0"/>
              <w:spacing w:line="400" w:lineRule="exact"/>
              <w:jc w:val="center"/>
              <w:rPr>
                <w:sz w:val="36"/>
                <w:szCs w:val="36"/>
              </w:rPr>
            </w:pPr>
          </w:p>
        </w:tc>
        <w:tc>
          <w:tcPr>
            <w:tcW w:w="2245" w:type="dxa"/>
            <w:vAlign w:val="top"/>
          </w:tcPr>
          <w:p>
            <w:pPr>
              <w:autoSpaceDE w:val="0"/>
              <w:autoSpaceDN w:val="0"/>
              <w:adjustRightInd w:val="0"/>
              <w:spacing w:line="400" w:lineRule="exact"/>
              <w:jc w:val="center"/>
              <w:rPr>
                <w:sz w:val="36"/>
                <w:szCs w:val="36"/>
              </w:rPr>
            </w:pPr>
          </w:p>
        </w:tc>
        <w:tc>
          <w:tcPr>
            <w:tcW w:w="1114" w:type="dxa"/>
            <w:vAlign w:val="top"/>
          </w:tcPr>
          <w:p>
            <w:pPr>
              <w:autoSpaceDE w:val="0"/>
              <w:autoSpaceDN w:val="0"/>
              <w:adjustRightInd w:val="0"/>
              <w:spacing w:line="400" w:lineRule="exact"/>
              <w:jc w:val="center"/>
              <w:rPr>
                <w:sz w:val="36"/>
                <w:szCs w:val="36"/>
              </w:rPr>
            </w:pPr>
          </w:p>
        </w:tc>
        <w:tc>
          <w:tcPr>
            <w:tcW w:w="728" w:type="dxa"/>
            <w:vAlign w:val="top"/>
          </w:tcPr>
          <w:p>
            <w:pPr>
              <w:autoSpaceDE w:val="0"/>
              <w:autoSpaceDN w:val="0"/>
              <w:adjustRightInd w:val="0"/>
              <w:spacing w:line="400" w:lineRule="exact"/>
              <w:jc w:val="center"/>
              <w:rPr>
                <w:sz w:val="36"/>
                <w:szCs w:val="36"/>
              </w:rPr>
            </w:pPr>
          </w:p>
        </w:tc>
        <w:tc>
          <w:tcPr>
            <w:tcW w:w="742" w:type="dxa"/>
            <w:vAlign w:val="top"/>
          </w:tcPr>
          <w:p>
            <w:pPr>
              <w:autoSpaceDE w:val="0"/>
              <w:autoSpaceDN w:val="0"/>
              <w:adjustRightInd w:val="0"/>
              <w:spacing w:line="400" w:lineRule="exact"/>
              <w:jc w:val="center"/>
              <w:rPr>
                <w:sz w:val="36"/>
                <w:szCs w:val="36"/>
              </w:rPr>
            </w:pPr>
          </w:p>
        </w:tc>
        <w:tc>
          <w:tcPr>
            <w:tcW w:w="636" w:type="dxa"/>
            <w:vAlign w:val="top"/>
          </w:tcPr>
          <w:p>
            <w:pPr>
              <w:autoSpaceDE w:val="0"/>
              <w:autoSpaceDN w:val="0"/>
              <w:adjustRightInd w:val="0"/>
              <w:spacing w:line="400" w:lineRule="exact"/>
              <w:jc w:val="center"/>
              <w:rPr>
                <w:sz w:val="36"/>
                <w:szCs w:val="36"/>
              </w:rPr>
            </w:pPr>
          </w:p>
        </w:tc>
        <w:tc>
          <w:tcPr>
            <w:tcW w:w="836" w:type="dxa"/>
            <w:vAlign w:val="top"/>
          </w:tcPr>
          <w:p>
            <w:pPr>
              <w:autoSpaceDE w:val="0"/>
              <w:autoSpaceDN w:val="0"/>
              <w:adjustRightInd w:val="0"/>
              <w:spacing w:line="400" w:lineRule="exact"/>
              <w:jc w:val="center"/>
              <w:rPr>
                <w:sz w:val="36"/>
                <w:szCs w:val="36"/>
              </w:rPr>
            </w:pPr>
          </w:p>
        </w:tc>
        <w:tc>
          <w:tcPr>
            <w:tcW w:w="1085" w:type="dxa"/>
            <w:vAlign w:val="top"/>
          </w:tcPr>
          <w:p>
            <w:pPr>
              <w:autoSpaceDE w:val="0"/>
              <w:autoSpaceDN w:val="0"/>
              <w:adjustRightInd w:val="0"/>
              <w:spacing w:line="400" w:lineRule="exact"/>
              <w:jc w:val="center"/>
              <w:rPr>
                <w:sz w:val="36"/>
                <w:szCs w:val="36"/>
              </w:rPr>
            </w:pPr>
          </w:p>
        </w:tc>
        <w:tc>
          <w:tcPr>
            <w:tcW w:w="1217" w:type="dxa"/>
            <w:vAlign w:val="top"/>
          </w:tcPr>
          <w:p>
            <w:pPr>
              <w:autoSpaceDE w:val="0"/>
              <w:autoSpaceDN w:val="0"/>
              <w:adjustRightInd w:val="0"/>
              <w:spacing w:line="400" w:lineRule="exact"/>
              <w:jc w:val="center"/>
              <w:rPr>
                <w:sz w:val="36"/>
                <w:szCs w:val="36"/>
              </w:rPr>
            </w:pPr>
          </w:p>
        </w:tc>
        <w:tc>
          <w:tcPr>
            <w:tcW w:w="1046" w:type="dxa"/>
            <w:vAlign w:val="top"/>
          </w:tcPr>
          <w:p>
            <w:pPr>
              <w:autoSpaceDE w:val="0"/>
              <w:autoSpaceDN w:val="0"/>
              <w:adjustRightInd w:val="0"/>
              <w:spacing w:line="400" w:lineRule="exact"/>
              <w:jc w:val="center"/>
              <w:rPr>
                <w:sz w:val="36"/>
                <w:szCs w:val="36"/>
              </w:rPr>
            </w:pPr>
          </w:p>
        </w:tc>
        <w:tc>
          <w:tcPr>
            <w:tcW w:w="1155" w:type="dxa"/>
            <w:vAlign w:val="top"/>
          </w:tcPr>
          <w:p>
            <w:pPr>
              <w:autoSpaceDE w:val="0"/>
              <w:autoSpaceDN w:val="0"/>
              <w:adjustRightInd w:val="0"/>
              <w:spacing w:line="400" w:lineRule="exact"/>
              <w:jc w:val="center"/>
              <w:rPr>
                <w:sz w:val="36"/>
                <w:szCs w:val="36"/>
              </w:rPr>
            </w:pPr>
          </w:p>
        </w:tc>
        <w:tc>
          <w:tcPr>
            <w:tcW w:w="743" w:type="dxa"/>
            <w:vAlign w:val="top"/>
          </w:tcPr>
          <w:p>
            <w:pPr>
              <w:autoSpaceDE w:val="0"/>
              <w:autoSpaceDN w:val="0"/>
              <w:adjustRightInd w:val="0"/>
              <w:spacing w:line="400" w:lineRule="exact"/>
              <w:jc w:val="center"/>
              <w:rPr>
                <w:sz w:val="36"/>
                <w:szCs w:val="36"/>
              </w:rPr>
            </w:pPr>
          </w:p>
        </w:tc>
        <w:tc>
          <w:tcPr>
            <w:tcW w:w="1571" w:type="dxa"/>
            <w:vAlign w:val="top"/>
          </w:tcPr>
          <w:p>
            <w:pPr>
              <w:autoSpaceDE w:val="0"/>
              <w:autoSpaceDN w:val="0"/>
              <w:adjustRightInd w:val="0"/>
              <w:spacing w:line="400" w:lineRule="exact"/>
              <w:jc w:val="center"/>
              <w:rPr>
                <w:sz w:val="36"/>
                <w:szCs w:val="36"/>
              </w:rPr>
            </w:pPr>
          </w:p>
        </w:tc>
      </w:tr>
    </w:tbl>
    <w:p>
      <w:pPr>
        <w:autoSpaceDE w:val="0"/>
        <w:autoSpaceDN w:val="0"/>
        <w:adjustRightInd w:val="0"/>
        <w:spacing w:line="400" w:lineRule="exact"/>
        <w:jc w:val="left"/>
        <w:rPr>
          <w:rFonts w:eastAsia="宋体"/>
          <w:sz w:val="36"/>
          <w:szCs w:val="36"/>
        </w:rPr>
      </w:pPr>
      <w:r>
        <w:rPr>
          <w:rFonts w:hint="eastAsia"/>
          <w:szCs w:val="21"/>
        </w:rPr>
        <w:t>注：计提折旧金额填制当期计提数，不填制累计数。</w:t>
      </w:r>
    </w:p>
    <w:p>
      <w:pPr>
        <w:autoSpaceDE w:val="0"/>
        <w:autoSpaceDN w:val="0"/>
        <w:adjustRightInd w:val="0"/>
        <w:spacing w:line="400" w:lineRule="exact"/>
        <w:jc w:val="center"/>
        <w:rPr>
          <w:rFonts w:hint="eastAsia"/>
          <w:b/>
          <w:bCs/>
          <w:sz w:val="36"/>
          <w:szCs w:val="36"/>
        </w:rPr>
      </w:pPr>
    </w:p>
    <w:p>
      <w:pPr>
        <w:autoSpaceDE w:val="0"/>
        <w:autoSpaceDN w:val="0"/>
        <w:adjustRightInd w:val="0"/>
        <w:spacing w:line="400" w:lineRule="exact"/>
        <w:jc w:val="center"/>
        <w:rPr>
          <w:b/>
          <w:bCs/>
          <w:sz w:val="36"/>
          <w:szCs w:val="36"/>
        </w:rPr>
      </w:pPr>
      <w:r>
        <w:rPr>
          <w:rFonts w:hint="eastAsia"/>
          <w:b/>
          <w:bCs/>
          <w:sz w:val="36"/>
          <w:szCs w:val="36"/>
        </w:rPr>
        <w:t>农村集体经营性固定资产经营使用情况明细台账</w:t>
      </w:r>
    </w:p>
    <w:p>
      <w:pPr>
        <w:autoSpaceDE w:val="0"/>
        <w:autoSpaceDN w:val="0"/>
        <w:adjustRightInd w:val="0"/>
        <w:spacing w:line="400" w:lineRule="exact"/>
        <w:jc w:val="center"/>
        <w:rPr>
          <w:b/>
          <w:bCs/>
          <w:sz w:val="36"/>
          <w:szCs w:val="36"/>
        </w:rPr>
      </w:pPr>
    </w:p>
    <w:p>
      <w:pPr>
        <w:autoSpaceDE w:val="0"/>
        <w:autoSpaceDN w:val="0"/>
        <w:adjustRightInd w:val="0"/>
        <w:spacing w:line="400" w:lineRule="exact"/>
        <w:rPr>
          <w:sz w:val="24"/>
        </w:rPr>
      </w:pPr>
      <w:r>
        <w:rPr>
          <w:rFonts w:hint="eastAsia"/>
          <w:spacing w:val="-14"/>
          <w:sz w:val="24"/>
          <w:szCs w:val="24"/>
        </w:rPr>
        <w:t>权属单位：</w:t>
      </w:r>
      <w:r>
        <w:rPr>
          <w:rFonts w:hint="eastAsia"/>
          <w:spacing w:val="-14"/>
          <w:sz w:val="24"/>
          <w:szCs w:val="24"/>
          <w:u w:val="single"/>
        </w:rPr>
        <w:t xml:space="preserve">                                 </w:t>
      </w:r>
      <w:r>
        <w:rPr>
          <w:rFonts w:hint="eastAsia"/>
          <w:sz w:val="24"/>
          <w:szCs w:val="24"/>
        </w:rPr>
        <w:t xml:space="preserve">固定资产名称： </w:t>
      </w:r>
      <w:r>
        <w:rPr>
          <w:rFonts w:hint="eastAsia"/>
          <w:spacing w:val="-14"/>
          <w:szCs w:val="21"/>
          <w:u w:val="single"/>
        </w:rPr>
        <w:t xml:space="preserve">                                        </w:t>
      </w:r>
      <w:r>
        <w:rPr>
          <w:rFonts w:hint="eastAsia"/>
          <w:spacing w:val="-14"/>
          <w:szCs w:val="21"/>
        </w:rPr>
        <w:t xml:space="preserve">    </w:t>
      </w:r>
      <w:r>
        <w:rPr>
          <w:rFonts w:hint="eastAsia"/>
          <w:sz w:val="24"/>
          <w:szCs w:val="24"/>
        </w:rPr>
        <w:t>编码</w:t>
      </w:r>
      <w:r>
        <w:rPr>
          <w:rFonts w:hint="eastAsia"/>
          <w:spacing w:val="-14"/>
          <w:sz w:val="24"/>
          <w:szCs w:val="24"/>
        </w:rPr>
        <w:t>：</w:t>
      </w:r>
      <w:r>
        <w:rPr>
          <w:rFonts w:hint="eastAsia"/>
          <w:spacing w:val="-14"/>
          <w:szCs w:val="21"/>
          <w:u w:val="single"/>
        </w:rPr>
        <w:t xml:space="preserve">                                </w:t>
      </w:r>
      <w:r>
        <w:rPr>
          <w:rFonts w:hint="eastAsia"/>
          <w:spacing w:val="-14"/>
          <w:szCs w:val="21"/>
        </w:rPr>
        <w:t xml:space="preserve">                  </w:t>
      </w:r>
    </w:p>
    <w:tbl>
      <w:tblPr>
        <w:tblStyle w:val="9"/>
        <w:tblpPr w:leftFromText="180" w:rightFromText="180" w:vertAnchor="text" w:horzAnchor="margin" w:tblpXSpec="center" w:tblpY="50"/>
        <w:tblOverlap w:val="never"/>
        <w:tblW w:w="14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645"/>
        <w:gridCol w:w="2367"/>
        <w:gridCol w:w="590"/>
        <w:gridCol w:w="985"/>
        <w:gridCol w:w="970"/>
        <w:gridCol w:w="1000"/>
        <w:gridCol w:w="1072"/>
        <w:gridCol w:w="1337"/>
        <w:gridCol w:w="1275"/>
        <w:gridCol w:w="1020"/>
        <w:gridCol w:w="975"/>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264" w:type="dxa"/>
            <w:gridSpan w:val="2"/>
            <w:vAlign w:val="center"/>
          </w:tcPr>
          <w:p>
            <w:pPr>
              <w:spacing w:line="280" w:lineRule="exact"/>
              <w:jc w:val="center"/>
              <w:rPr>
                <w:spacing w:val="-14"/>
                <w:szCs w:val="21"/>
              </w:rPr>
            </w:pPr>
            <w:r>
              <w:rPr>
                <w:rFonts w:hint="eastAsia"/>
                <w:spacing w:val="-14"/>
                <w:szCs w:val="21"/>
              </w:rPr>
              <w:t>年</w:t>
            </w:r>
          </w:p>
        </w:tc>
        <w:tc>
          <w:tcPr>
            <w:tcW w:w="2367" w:type="dxa"/>
            <w:vMerge w:val="restart"/>
            <w:tcBorders>
              <w:right w:val="nil"/>
            </w:tcBorders>
            <w:vAlign w:val="center"/>
          </w:tcPr>
          <w:p>
            <w:pPr>
              <w:spacing w:line="280" w:lineRule="exact"/>
              <w:jc w:val="center"/>
              <w:rPr>
                <w:spacing w:val="-14"/>
                <w:szCs w:val="21"/>
              </w:rPr>
            </w:pPr>
            <w:r>
              <w:rPr>
                <w:rFonts w:hint="eastAsia"/>
                <w:spacing w:val="-14"/>
                <w:szCs w:val="21"/>
              </w:rPr>
              <w:t>摘   要</w:t>
            </w:r>
          </w:p>
        </w:tc>
        <w:tc>
          <w:tcPr>
            <w:tcW w:w="590" w:type="dxa"/>
            <w:vMerge w:val="restart"/>
            <w:tcBorders>
              <w:right w:val="nil"/>
            </w:tcBorders>
            <w:vAlign w:val="center"/>
          </w:tcPr>
          <w:p>
            <w:pPr>
              <w:spacing w:line="280" w:lineRule="exact"/>
              <w:jc w:val="center"/>
              <w:rPr>
                <w:spacing w:val="-16"/>
                <w:szCs w:val="21"/>
              </w:rPr>
            </w:pPr>
            <w:r>
              <w:rPr>
                <w:rFonts w:hint="eastAsia"/>
                <w:spacing w:val="-16"/>
                <w:szCs w:val="21"/>
              </w:rPr>
              <w:t>计量单位</w:t>
            </w:r>
          </w:p>
        </w:tc>
        <w:tc>
          <w:tcPr>
            <w:tcW w:w="985" w:type="dxa"/>
            <w:vMerge w:val="restart"/>
            <w:vAlign w:val="center"/>
          </w:tcPr>
          <w:p>
            <w:pPr>
              <w:spacing w:line="280" w:lineRule="exact"/>
              <w:jc w:val="center"/>
              <w:rPr>
                <w:spacing w:val="-14"/>
                <w:szCs w:val="21"/>
              </w:rPr>
            </w:pPr>
            <w:r>
              <w:rPr>
                <w:rFonts w:hint="eastAsia"/>
                <w:spacing w:val="-14"/>
                <w:szCs w:val="21"/>
              </w:rPr>
              <w:t>使用方式</w:t>
            </w:r>
          </w:p>
        </w:tc>
        <w:tc>
          <w:tcPr>
            <w:tcW w:w="5654" w:type="dxa"/>
            <w:gridSpan w:val="5"/>
            <w:vAlign w:val="center"/>
          </w:tcPr>
          <w:p>
            <w:pPr>
              <w:spacing w:line="280" w:lineRule="exact"/>
              <w:jc w:val="center"/>
              <w:rPr>
                <w:spacing w:val="-14"/>
                <w:szCs w:val="21"/>
              </w:rPr>
            </w:pPr>
            <w:r>
              <w:rPr>
                <w:rFonts w:hint="eastAsia"/>
                <w:spacing w:val="-14"/>
                <w:szCs w:val="21"/>
              </w:rPr>
              <w:t>承包、出租、投资及使用情况</w:t>
            </w:r>
          </w:p>
        </w:tc>
        <w:tc>
          <w:tcPr>
            <w:tcW w:w="3641" w:type="dxa"/>
            <w:gridSpan w:val="3"/>
            <w:tcBorders>
              <w:right w:val="single" w:color="auto" w:sz="4" w:space="0"/>
            </w:tcBorders>
            <w:vAlign w:val="center"/>
          </w:tcPr>
          <w:p>
            <w:pPr>
              <w:spacing w:line="280" w:lineRule="exact"/>
              <w:jc w:val="center"/>
              <w:rPr>
                <w:spacing w:val="-14"/>
                <w:szCs w:val="21"/>
              </w:rPr>
            </w:pPr>
            <w:r>
              <w:rPr>
                <w:rFonts w:hint="eastAsia"/>
                <w:spacing w:val="-14"/>
                <w:szCs w:val="21"/>
              </w:rPr>
              <w:t>合同到期收回情况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19" w:type="dxa"/>
            <w:tcBorders>
              <w:bottom w:val="single" w:color="auto" w:sz="4" w:space="0"/>
            </w:tcBorders>
            <w:vAlign w:val="center"/>
          </w:tcPr>
          <w:p>
            <w:pPr>
              <w:spacing w:line="280" w:lineRule="exact"/>
              <w:jc w:val="center"/>
              <w:rPr>
                <w:spacing w:val="-14"/>
                <w:szCs w:val="21"/>
              </w:rPr>
            </w:pPr>
            <w:r>
              <w:rPr>
                <w:rFonts w:hint="eastAsia"/>
                <w:spacing w:val="-14"/>
                <w:szCs w:val="21"/>
              </w:rPr>
              <w:t>月</w:t>
            </w:r>
          </w:p>
        </w:tc>
        <w:tc>
          <w:tcPr>
            <w:tcW w:w="645" w:type="dxa"/>
            <w:tcBorders>
              <w:bottom w:val="single" w:color="auto" w:sz="4" w:space="0"/>
            </w:tcBorders>
            <w:vAlign w:val="center"/>
          </w:tcPr>
          <w:p>
            <w:pPr>
              <w:spacing w:line="280" w:lineRule="exact"/>
              <w:jc w:val="center"/>
              <w:rPr>
                <w:spacing w:val="-14"/>
                <w:szCs w:val="21"/>
              </w:rPr>
            </w:pPr>
            <w:r>
              <w:rPr>
                <w:rFonts w:hint="eastAsia"/>
                <w:spacing w:val="-14"/>
                <w:szCs w:val="21"/>
              </w:rPr>
              <w:t>日</w:t>
            </w:r>
          </w:p>
        </w:tc>
        <w:tc>
          <w:tcPr>
            <w:tcW w:w="2367" w:type="dxa"/>
            <w:vMerge w:val="continue"/>
            <w:tcBorders>
              <w:bottom w:val="single" w:color="auto" w:sz="4" w:space="0"/>
              <w:right w:val="nil"/>
            </w:tcBorders>
            <w:vAlign w:val="center"/>
          </w:tcPr>
          <w:p>
            <w:pPr>
              <w:spacing w:line="280" w:lineRule="exact"/>
              <w:jc w:val="center"/>
              <w:rPr>
                <w:spacing w:val="-14"/>
                <w:szCs w:val="21"/>
              </w:rPr>
            </w:pPr>
          </w:p>
        </w:tc>
        <w:tc>
          <w:tcPr>
            <w:tcW w:w="590" w:type="dxa"/>
            <w:vMerge w:val="continue"/>
            <w:tcBorders>
              <w:bottom w:val="single" w:color="auto" w:sz="4" w:space="0"/>
              <w:right w:val="nil"/>
            </w:tcBorders>
            <w:vAlign w:val="center"/>
          </w:tcPr>
          <w:p>
            <w:pPr>
              <w:spacing w:line="280" w:lineRule="exact"/>
              <w:jc w:val="center"/>
              <w:rPr>
                <w:spacing w:val="-14"/>
                <w:szCs w:val="21"/>
              </w:rPr>
            </w:pPr>
          </w:p>
        </w:tc>
        <w:tc>
          <w:tcPr>
            <w:tcW w:w="985" w:type="dxa"/>
            <w:vMerge w:val="continue"/>
            <w:tcBorders>
              <w:bottom w:val="single" w:color="auto" w:sz="4" w:space="0"/>
            </w:tcBorders>
            <w:vAlign w:val="center"/>
          </w:tcPr>
          <w:p>
            <w:pPr>
              <w:spacing w:line="280" w:lineRule="exact"/>
              <w:jc w:val="center"/>
              <w:rPr>
                <w:spacing w:val="-14"/>
                <w:szCs w:val="21"/>
              </w:rPr>
            </w:pPr>
          </w:p>
        </w:tc>
        <w:tc>
          <w:tcPr>
            <w:tcW w:w="970" w:type="dxa"/>
            <w:tcBorders>
              <w:bottom w:val="single" w:color="auto" w:sz="4" w:space="0"/>
            </w:tcBorders>
            <w:vAlign w:val="center"/>
          </w:tcPr>
          <w:p>
            <w:pPr>
              <w:spacing w:line="280" w:lineRule="exact"/>
              <w:jc w:val="center"/>
              <w:rPr>
                <w:spacing w:val="-14"/>
                <w:szCs w:val="21"/>
              </w:rPr>
            </w:pPr>
            <w:r>
              <w:rPr>
                <w:rFonts w:hint="eastAsia"/>
                <w:spacing w:val="-14"/>
                <w:szCs w:val="21"/>
              </w:rPr>
              <w:t>单位名称</w:t>
            </w:r>
          </w:p>
        </w:tc>
        <w:tc>
          <w:tcPr>
            <w:tcW w:w="1000" w:type="dxa"/>
            <w:tcBorders>
              <w:bottom w:val="single" w:color="auto" w:sz="4" w:space="0"/>
            </w:tcBorders>
            <w:vAlign w:val="center"/>
          </w:tcPr>
          <w:p>
            <w:pPr>
              <w:spacing w:line="280" w:lineRule="exact"/>
              <w:jc w:val="center"/>
              <w:rPr>
                <w:rFonts w:ascii="Verdana" w:hAnsi="Verdana" w:cs="Arial"/>
                <w:color w:val="333333"/>
                <w:spacing w:val="-14"/>
                <w:kern w:val="0"/>
                <w:szCs w:val="21"/>
              </w:rPr>
            </w:pPr>
            <w:r>
              <w:rPr>
                <w:rFonts w:hint="eastAsia"/>
                <w:spacing w:val="-14"/>
                <w:szCs w:val="21"/>
              </w:rPr>
              <w:t>起止时间</w:t>
            </w:r>
          </w:p>
        </w:tc>
        <w:tc>
          <w:tcPr>
            <w:tcW w:w="1072" w:type="dxa"/>
            <w:tcBorders>
              <w:bottom w:val="single" w:color="auto" w:sz="4" w:space="0"/>
            </w:tcBorders>
            <w:vAlign w:val="center"/>
          </w:tcPr>
          <w:p>
            <w:pPr>
              <w:spacing w:line="280" w:lineRule="exact"/>
              <w:jc w:val="center"/>
              <w:rPr>
                <w:spacing w:val="-14"/>
                <w:szCs w:val="21"/>
              </w:rPr>
            </w:pPr>
            <w:r>
              <w:rPr>
                <w:rFonts w:hint="eastAsia" w:ascii="Verdana" w:hAnsi="Verdana" w:cs="Arial"/>
                <w:color w:val="333333"/>
                <w:spacing w:val="-14"/>
                <w:kern w:val="0"/>
                <w:szCs w:val="21"/>
              </w:rPr>
              <w:t>合同编号</w:t>
            </w:r>
          </w:p>
        </w:tc>
        <w:tc>
          <w:tcPr>
            <w:tcW w:w="1337" w:type="dxa"/>
            <w:tcBorders>
              <w:bottom w:val="single" w:color="auto" w:sz="4" w:space="0"/>
            </w:tcBorders>
            <w:vAlign w:val="center"/>
          </w:tcPr>
          <w:p>
            <w:pPr>
              <w:spacing w:line="280" w:lineRule="exact"/>
              <w:jc w:val="center"/>
              <w:rPr>
                <w:rFonts w:ascii="Verdana" w:hAnsi="Verdana" w:eastAsia="宋体" w:cs="Arial"/>
                <w:color w:val="333333"/>
                <w:spacing w:val="-14"/>
                <w:kern w:val="0"/>
                <w:szCs w:val="21"/>
              </w:rPr>
            </w:pPr>
            <w:r>
              <w:rPr>
                <w:rFonts w:hint="eastAsia" w:ascii="Verdana" w:hAnsi="Verdana" w:cs="Arial"/>
                <w:color w:val="333333"/>
                <w:spacing w:val="-14"/>
                <w:kern w:val="0"/>
                <w:szCs w:val="21"/>
              </w:rPr>
              <w:t>年收益额</w:t>
            </w:r>
          </w:p>
        </w:tc>
        <w:tc>
          <w:tcPr>
            <w:tcW w:w="1275" w:type="dxa"/>
            <w:tcBorders>
              <w:bottom w:val="single" w:color="auto" w:sz="4" w:space="0"/>
            </w:tcBorders>
            <w:vAlign w:val="center"/>
          </w:tcPr>
          <w:p>
            <w:pPr>
              <w:spacing w:line="280" w:lineRule="exact"/>
              <w:jc w:val="center"/>
              <w:rPr>
                <w:spacing w:val="-14"/>
                <w:szCs w:val="21"/>
              </w:rPr>
            </w:pPr>
            <w:r>
              <w:rPr>
                <w:rFonts w:hint="eastAsia"/>
                <w:spacing w:val="-14"/>
                <w:szCs w:val="21"/>
              </w:rPr>
              <w:t>兑现</w:t>
            </w:r>
          </w:p>
          <w:p>
            <w:pPr>
              <w:spacing w:line="280" w:lineRule="exact"/>
              <w:jc w:val="center"/>
              <w:rPr>
                <w:rFonts w:eastAsia="宋体"/>
                <w:spacing w:val="-14"/>
                <w:szCs w:val="21"/>
              </w:rPr>
            </w:pPr>
            <w:r>
              <w:rPr>
                <w:rFonts w:hint="eastAsia"/>
                <w:spacing w:val="-14"/>
                <w:szCs w:val="21"/>
              </w:rPr>
              <w:t>金额</w:t>
            </w:r>
          </w:p>
        </w:tc>
        <w:tc>
          <w:tcPr>
            <w:tcW w:w="1020" w:type="dxa"/>
            <w:tcBorders>
              <w:bottom w:val="single" w:color="auto" w:sz="4" w:space="0"/>
            </w:tcBorders>
            <w:vAlign w:val="center"/>
          </w:tcPr>
          <w:p>
            <w:pPr>
              <w:spacing w:line="280" w:lineRule="exact"/>
              <w:jc w:val="center"/>
              <w:rPr>
                <w:spacing w:val="-14"/>
                <w:szCs w:val="21"/>
              </w:rPr>
            </w:pPr>
            <w:r>
              <w:rPr>
                <w:rFonts w:hint="eastAsia"/>
                <w:spacing w:val="-14"/>
                <w:szCs w:val="21"/>
              </w:rPr>
              <w:t>收回时间</w:t>
            </w:r>
          </w:p>
        </w:tc>
        <w:tc>
          <w:tcPr>
            <w:tcW w:w="975" w:type="dxa"/>
            <w:tcBorders>
              <w:bottom w:val="single" w:color="auto" w:sz="4" w:space="0"/>
            </w:tcBorders>
            <w:vAlign w:val="center"/>
          </w:tcPr>
          <w:p>
            <w:pPr>
              <w:spacing w:line="280" w:lineRule="exact"/>
              <w:jc w:val="center"/>
              <w:rPr>
                <w:spacing w:val="-14"/>
                <w:szCs w:val="21"/>
              </w:rPr>
            </w:pPr>
            <w:r>
              <w:rPr>
                <w:rFonts w:hint="eastAsia"/>
                <w:spacing w:val="-14"/>
                <w:szCs w:val="21"/>
              </w:rPr>
              <w:t>收回状态</w:t>
            </w:r>
          </w:p>
        </w:tc>
        <w:tc>
          <w:tcPr>
            <w:tcW w:w="1646" w:type="dxa"/>
            <w:tcBorders>
              <w:bottom w:val="single" w:color="auto" w:sz="4" w:space="0"/>
              <w:right w:val="single" w:color="auto" w:sz="4" w:space="0"/>
            </w:tcBorders>
            <w:vAlign w:val="center"/>
          </w:tcPr>
          <w:p>
            <w:pPr>
              <w:spacing w:line="280" w:lineRule="exact"/>
              <w:jc w:val="center"/>
              <w:rPr>
                <w:spacing w:val="-14"/>
                <w:szCs w:val="21"/>
              </w:rPr>
            </w:pPr>
            <w:r>
              <w:rPr>
                <w:rFonts w:hint="eastAsia"/>
                <w:spacing w:val="-14"/>
                <w:szCs w:val="21"/>
              </w:rPr>
              <w:t>收回时价值或评估价值（元）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19" w:type="dxa"/>
            <w:vAlign w:val="top"/>
          </w:tcPr>
          <w:p>
            <w:pPr>
              <w:rPr>
                <w:spacing w:val="-14"/>
                <w:szCs w:val="21"/>
              </w:rPr>
            </w:pPr>
          </w:p>
        </w:tc>
        <w:tc>
          <w:tcPr>
            <w:tcW w:w="645" w:type="dxa"/>
            <w:vAlign w:val="top"/>
          </w:tcPr>
          <w:p>
            <w:pPr>
              <w:rPr>
                <w:spacing w:val="-14"/>
                <w:szCs w:val="21"/>
              </w:rPr>
            </w:pPr>
          </w:p>
        </w:tc>
        <w:tc>
          <w:tcPr>
            <w:tcW w:w="2367" w:type="dxa"/>
            <w:vAlign w:val="top"/>
          </w:tcPr>
          <w:p>
            <w:pPr>
              <w:tabs>
                <w:tab w:val="left" w:pos="440"/>
              </w:tabs>
              <w:spacing w:line="280" w:lineRule="exact"/>
              <w:rPr>
                <w:spacing w:val="-14"/>
                <w:szCs w:val="21"/>
              </w:rPr>
            </w:pPr>
            <w:r>
              <w:rPr>
                <w:spacing w:val="-14"/>
                <w:szCs w:val="21"/>
              </w:rPr>
              <w:tab/>
            </w:r>
          </w:p>
        </w:tc>
        <w:tc>
          <w:tcPr>
            <w:tcW w:w="590" w:type="dxa"/>
            <w:vAlign w:val="top"/>
          </w:tcPr>
          <w:p>
            <w:pPr>
              <w:spacing w:line="280" w:lineRule="exact"/>
              <w:jc w:val="center"/>
              <w:rPr>
                <w:spacing w:val="-14"/>
                <w:szCs w:val="21"/>
              </w:rPr>
            </w:pPr>
          </w:p>
        </w:tc>
        <w:tc>
          <w:tcPr>
            <w:tcW w:w="985" w:type="dxa"/>
            <w:vAlign w:val="top"/>
          </w:tcPr>
          <w:p>
            <w:pPr>
              <w:rPr>
                <w:spacing w:val="-14"/>
                <w:szCs w:val="21"/>
              </w:rPr>
            </w:pPr>
          </w:p>
        </w:tc>
        <w:tc>
          <w:tcPr>
            <w:tcW w:w="970" w:type="dxa"/>
            <w:vAlign w:val="center"/>
          </w:tcPr>
          <w:p>
            <w:pPr>
              <w:jc w:val="center"/>
              <w:rPr>
                <w:spacing w:val="-14"/>
                <w:szCs w:val="21"/>
              </w:rPr>
            </w:pPr>
          </w:p>
        </w:tc>
        <w:tc>
          <w:tcPr>
            <w:tcW w:w="1000" w:type="dxa"/>
            <w:vAlign w:val="center"/>
          </w:tcPr>
          <w:p>
            <w:pPr>
              <w:rPr>
                <w:spacing w:val="-14"/>
                <w:szCs w:val="21"/>
              </w:rPr>
            </w:pPr>
          </w:p>
        </w:tc>
        <w:tc>
          <w:tcPr>
            <w:tcW w:w="1072" w:type="dxa"/>
            <w:vAlign w:val="top"/>
          </w:tcPr>
          <w:p>
            <w:pPr>
              <w:rPr>
                <w:spacing w:val="-14"/>
                <w:szCs w:val="21"/>
              </w:rPr>
            </w:pPr>
          </w:p>
        </w:tc>
        <w:tc>
          <w:tcPr>
            <w:tcW w:w="1337" w:type="dxa"/>
            <w:vAlign w:val="top"/>
          </w:tcPr>
          <w:p>
            <w:pPr>
              <w:rPr>
                <w:spacing w:val="-14"/>
                <w:szCs w:val="21"/>
              </w:rPr>
            </w:pPr>
          </w:p>
        </w:tc>
        <w:tc>
          <w:tcPr>
            <w:tcW w:w="1275" w:type="dxa"/>
            <w:vAlign w:val="top"/>
          </w:tcPr>
          <w:p>
            <w:pPr>
              <w:rPr>
                <w:spacing w:val="-14"/>
                <w:szCs w:val="21"/>
              </w:rPr>
            </w:pPr>
          </w:p>
        </w:tc>
        <w:tc>
          <w:tcPr>
            <w:tcW w:w="1020" w:type="dxa"/>
            <w:vAlign w:val="top"/>
          </w:tcPr>
          <w:p>
            <w:pPr>
              <w:rPr>
                <w:spacing w:val="-14"/>
                <w:szCs w:val="21"/>
              </w:rPr>
            </w:pPr>
          </w:p>
        </w:tc>
        <w:tc>
          <w:tcPr>
            <w:tcW w:w="975" w:type="dxa"/>
            <w:vAlign w:val="top"/>
          </w:tcPr>
          <w:p>
            <w:pPr>
              <w:rPr>
                <w:spacing w:val="-14"/>
                <w:szCs w:val="21"/>
              </w:rPr>
            </w:pPr>
          </w:p>
        </w:tc>
        <w:tc>
          <w:tcPr>
            <w:tcW w:w="1646" w:type="dxa"/>
            <w:vAlign w:val="top"/>
          </w:tcPr>
          <w:p>
            <w:pPr>
              <w:rPr>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19" w:type="dxa"/>
            <w:vAlign w:val="top"/>
          </w:tcPr>
          <w:p>
            <w:pPr>
              <w:rPr>
                <w:spacing w:val="-14"/>
                <w:szCs w:val="21"/>
              </w:rPr>
            </w:pPr>
          </w:p>
        </w:tc>
        <w:tc>
          <w:tcPr>
            <w:tcW w:w="645" w:type="dxa"/>
            <w:vAlign w:val="top"/>
          </w:tcPr>
          <w:p>
            <w:pPr>
              <w:rPr>
                <w:spacing w:val="-14"/>
                <w:szCs w:val="21"/>
              </w:rPr>
            </w:pPr>
          </w:p>
        </w:tc>
        <w:tc>
          <w:tcPr>
            <w:tcW w:w="2367" w:type="dxa"/>
            <w:vAlign w:val="top"/>
          </w:tcPr>
          <w:p>
            <w:pPr>
              <w:rPr>
                <w:spacing w:val="-14"/>
                <w:szCs w:val="21"/>
              </w:rPr>
            </w:pPr>
          </w:p>
        </w:tc>
        <w:tc>
          <w:tcPr>
            <w:tcW w:w="590" w:type="dxa"/>
            <w:vAlign w:val="top"/>
          </w:tcPr>
          <w:p>
            <w:pPr>
              <w:rPr>
                <w:spacing w:val="-14"/>
                <w:szCs w:val="21"/>
              </w:rPr>
            </w:pPr>
          </w:p>
        </w:tc>
        <w:tc>
          <w:tcPr>
            <w:tcW w:w="985" w:type="dxa"/>
            <w:vAlign w:val="top"/>
          </w:tcPr>
          <w:p>
            <w:pPr>
              <w:rPr>
                <w:spacing w:val="-14"/>
                <w:szCs w:val="21"/>
              </w:rPr>
            </w:pPr>
          </w:p>
        </w:tc>
        <w:tc>
          <w:tcPr>
            <w:tcW w:w="970" w:type="dxa"/>
            <w:vAlign w:val="top"/>
          </w:tcPr>
          <w:p>
            <w:pPr>
              <w:rPr>
                <w:spacing w:val="-14"/>
                <w:szCs w:val="21"/>
              </w:rPr>
            </w:pPr>
          </w:p>
        </w:tc>
        <w:tc>
          <w:tcPr>
            <w:tcW w:w="1000" w:type="dxa"/>
            <w:vAlign w:val="top"/>
          </w:tcPr>
          <w:p>
            <w:pPr>
              <w:rPr>
                <w:spacing w:val="-14"/>
                <w:szCs w:val="21"/>
              </w:rPr>
            </w:pPr>
          </w:p>
        </w:tc>
        <w:tc>
          <w:tcPr>
            <w:tcW w:w="1072" w:type="dxa"/>
            <w:vAlign w:val="top"/>
          </w:tcPr>
          <w:p>
            <w:pPr>
              <w:rPr>
                <w:spacing w:val="-14"/>
                <w:szCs w:val="21"/>
              </w:rPr>
            </w:pPr>
          </w:p>
        </w:tc>
        <w:tc>
          <w:tcPr>
            <w:tcW w:w="1337" w:type="dxa"/>
            <w:vAlign w:val="top"/>
          </w:tcPr>
          <w:p>
            <w:pPr>
              <w:rPr>
                <w:spacing w:val="-14"/>
                <w:szCs w:val="21"/>
              </w:rPr>
            </w:pPr>
          </w:p>
        </w:tc>
        <w:tc>
          <w:tcPr>
            <w:tcW w:w="1275" w:type="dxa"/>
            <w:vAlign w:val="top"/>
          </w:tcPr>
          <w:p>
            <w:pPr>
              <w:rPr>
                <w:spacing w:val="-14"/>
                <w:szCs w:val="21"/>
              </w:rPr>
            </w:pPr>
          </w:p>
        </w:tc>
        <w:tc>
          <w:tcPr>
            <w:tcW w:w="1020" w:type="dxa"/>
            <w:vAlign w:val="top"/>
          </w:tcPr>
          <w:p>
            <w:pPr>
              <w:rPr>
                <w:spacing w:val="-14"/>
                <w:szCs w:val="21"/>
              </w:rPr>
            </w:pPr>
          </w:p>
        </w:tc>
        <w:tc>
          <w:tcPr>
            <w:tcW w:w="975" w:type="dxa"/>
            <w:vAlign w:val="top"/>
          </w:tcPr>
          <w:p>
            <w:pPr>
              <w:rPr>
                <w:spacing w:val="-14"/>
                <w:szCs w:val="21"/>
              </w:rPr>
            </w:pPr>
          </w:p>
        </w:tc>
        <w:tc>
          <w:tcPr>
            <w:tcW w:w="1646" w:type="dxa"/>
            <w:vAlign w:val="top"/>
          </w:tcPr>
          <w:p>
            <w:pPr>
              <w:rPr>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19" w:type="dxa"/>
            <w:vAlign w:val="top"/>
          </w:tcPr>
          <w:p>
            <w:pPr>
              <w:rPr>
                <w:sz w:val="32"/>
                <w:szCs w:val="32"/>
              </w:rPr>
            </w:pPr>
          </w:p>
        </w:tc>
        <w:tc>
          <w:tcPr>
            <w:tcW w:w="645" w:type="dxa"/>
            <w:vAlign w:val="top"/>
          </w:tcPr>
          <w:p>
            <w:pPr>
              <w:rPr>
                <w:sz w:val="32"/>
                <w:szCs w:val="32"/>
              </w:rPr>
            </w:pPr>
          </w:p>
        </w:tc>
        <w:tc>
          <w:tcPr>
            <w:tcW w:w="2367" w:type="dxa"/>
            <w:vAlign w:val="top"/>
          </w:tcPr>
          <w:p>
            <w:pPr>
              <w:rPr>
                <w:sz w:val="32"/>
                <w:szCs w:val="32"/>
              </w:rPr>
            </w:pPr>
          </w:p>
        </w:tc>
        <w:tc>
          <w:tcPr>
            <w:tcW w:w="590" w:type="dxa"/>
            <w:vAlign w:val="top"/>
          </w:tcPr>
          <w:p>
            <w:pPr>
              <w:rPr>
                <w:sz w:val="32"/>
                <w:szCs w:val="32"/>
              </w:rPr>
            </w:pPr>
          </w:p>
        </w:tc>
        <w:tc>
          <w:tcPr>
            <w:tcW w:w="985" w:type="dxa"/>
            <w:vAlign w:val="top"/>
          </w:tcPr>
          <w:p>
            <w:pPr>
              <w:rPr>
                <w:sz w:val="32"/>
                <w:szCs w:val="32"/>
              </w:rPr>
            </w:pPr>
          </w:p>
        </w:tc>
        <w:tc>
          <w:tcPr>
            <w:tcW w:w="970" w:type="dxa"/>
            <w:vAlign w:val="top"/>
          </w:tcPr>
          <w:p>
            <w:pPr>
              <w:rPr>
                <w:sz w:val="32"/>
                <w:szCs w:val="32"/>
              </w:rPr>
            </w:pPr>
          </w:p>
        </w:tc>
        <w:tc>
          <w:tcPr>
            <w:tcW w:w="1000" w:type="dxa"/>
            <w:vAlign w:val="top"/>
          </w:tcPr>
          <w:p>
            <w:pPr>
              <w:rPr>
                <w:sz w:val="32"/>
                <w:szCs w:val="32"/>
              </w:rPr>
            </w:pPr>
          </w:p>
        </w:tc>
        <w:tc>
          <w:tcPr>
            <w:tcW w:w="1072" w:type="dxa"/>
            <w:vAlign w:val="top"/>
          </w:tcPr>
          <w:p>
            <w:pPr>
              <w:rPr>
                <w:sz w:val="32"/>
                <w:szCs w:val="32"/>
              </w:rPr>
            </w:pPr>
          </w:p>
        </w:tc>
        <w:tc>
          <w:tcPr>
            <w:tcW w:w="1337" w:type="dxa"/>
            <w:vAlign w:val="top"/>
          </w:tcPr>
          <w:p>
            <w:pPr>
              <w:rPr>
                <w:sz w:val="32"/>
                <w:szCs w:val="32"/>
              </w:rPr>
            </w:pPr>
          </w:p>
        </w:tc>
        <w:tc>
          <w:tcPr>
            <w:tcW w:w="1275" w:type="dxa"/>
            <w:vAlign w:val="top"/>
          </w:tcPr>
          <w:p>
            <w:pPr>
              <w:rPr>
                <w:sz w:val="32"/>
                <w:szCs w:val="32"/>
              </w:rPr>
            </w:pPr>
          </w:p>
        </w:tc>
        <w:tc>
          <w:tcPr>
            <w:tcW w:w="1020" w:type="dxa"/>
            <w:vAlign w:val="top"/>
          </w:tcPr>
          <w:p>
            <w:pPr>
              <w:rPr>
                <w:sz w:val="32"/>
                <w:szCs w:val="32"/>
              </w:rPr>
            </w:pPr>
          </w:p>
        </w:tc>
        <w:tc>
          <w:tcPr>
            <w:tcW w:w="975" w:type="dxa"/>
            <w:vAlign w:val="top"/>
          </w:tcPr>
          <w:p>
            <w:pPr>
              <w:rPr>
                <w:sz w:val="32"/>
                <w:szCs w:val="32"/>
              </w:rPr>
            </w:pPr>
          </w:p>
        </w:tc>
        <w:tc>
          <w:tcPr>
            <w:tcW w:w="1646" w:type="dxa"/>
            <w:vAlign w:val="top"/>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619" w:type="dxa"/>
            <w:vAlign w:val="top"/>
          </w:tcPr>
          <w:p>
            <w:pPr>
              <w:rPr>
                <w:sz w:val="32"/>
                <w:szCs w:val="32"/>
              </w:rPr>
            </w:pPr>
          </w:p>
        </w:tc>
        <w:tc>
          <w:tcPr>
            <w:tcW w:w="645" w:type="dxa"/>
            <w:vAlign w:val="top"/>
          </w:tcPr>
          <w:p>
            <w:pPr>
              <w:rPr>
                <w:sz w:val="32"/>
                <w:szCs w:val="32"/>
              </w:rPr>
            </w:pPr>
          </w:p>
        </w:tc>
        <w:tc>
          <w:tcPr>
            <w:tcW w:w="2367" w:type="dxa"/>
            <w:vAlign w:val="top"/>
          </w:tcPr>
          <w:p>
            <w:pPr>
              <w:rPr>
                <w:sz w:val="32"/>
                <w:szCs w:val="32"/>
              </w:rPr>
            </w:pPr>
          </w:p>
        </w:tc>
        <w:tc>
          <w:tcPr>
            <w:tcW w:w="590" w:type="dxa"/>
            <w:vAlign w:val="top"/>
          </w:tcPr>
          <w:p>
            <w:pPr>
              <w:rPr>
                <w:sz w:val="32"/>
                <w:szCs w:val="32"/>
              </w:rPr>
            </w:pPr>
          </w:p>
        </w:tc>
        <w:tc>
          <w:tcPr>
            <w:tcW w:w="985" w:type="dxa"/>
            <w:vAlign w:val="top"/>
          </w:tcPr>
          <w:p>
            <w:pPr>
              <w:rPr>
                <w:sz w:val="32"/>
                <w:szCs w:val="32"/>
              </w:rPr>
            </w:pPr>
          </w:p>
        </w:tc>
        <w:tc>
          <w:tcPr>
            <w:tcW w:w="970" w:type="dxa"/>
            <w:vAlign w:val="top"/>
          </w:tcPr>
          <w:p>
            <w:pPr>
              <w:rPr>
                <w:sz w:val="32"/>
                <w:szCs w:val="32"/>
              </w:rPr>
            </w:pPr>
          </w:p>
        </w:tc>
        <w:tc>
          <w:tcPr>
            <w:tcW w:w="1000" w:type="dxa"/>
            <w:vAlign w:val="top"/>
          </w:tcPr>
          <w:p>
            <w:pPr>
              <w:rPr>
                <w:sz w:val="32"/>
                <w:szCs w:val="32"/>
              </w:rPr>
            </w:pPr>
          </w:p>
        </w:tc>
        <w:tc>
          <w:tcPr>
            <w:tcW w:w="1072" w:type="dxa"/>
            <w:vAlign w:val="top"/>
          </w:tcPr>
          <w:p>
            <w:pPr>
              <w:rPr>
                <w:sz w:val="32"/>
                <w:szCs w:val="32"/>
              </w:rPr>
            </w:pPr>
          </w:p>
        </w:tc>
        <w:tc>
          <w:tcPr>
            <w:tcW w:w="1337" w:type="dxa"/>
            <w:vAlign w:val="top"/>
          </w:tcPr>
          <w:p>
            <w:pPr>
              <w:rPr>
                <w:sz w:val="32"/>
                <w:szCs w:val="32"/>
              </w:rPr>
            </w:pPr>
          </w:p>
        </w:tc>
        <w:tc>
          <w:tcPr>
            <w:tcW w:w="1275" w:type="dxa"/>
            <w:vAlign w:val="top"/>
          </w:tcPr>
          <w:p>
            <w:pPr>
              <w:rPr>
                <w:sz w:val="32"/>
                <w:szCs w:val="32"/>
              </w:rPr>
            </w:pPr>
          </w:p>
        </w:tc>
        <w:tc>
          <w:tcPr>
            <w:tcW w:w="1020" w:type="dxa"/>
            <w:vAlign w:val="top"/>
          </w:tcPr>
          <w:p>
            <w:pPr>
              <w:rPr>
                <w:sz w:val="32"/>
                <w:szCs w:val="32"/>
              </w:rPr>
            </w:pPr>
          </w:p>
        </w:tc>
        <w:tc>
          <w:tcPr>
            <w:tcW w:w="975" w:type="dxa"/>
            <w:vAlign w:val="top"/>
          </w:tcPr>
          <w:p>
            <w:pPr>
              <w:rPr>
                <w:sz w:val="32"/>
                <w:szCs w:val="32"/>
              </w:rPr>
            </w:pPr>
          </w:p>
        </w:tc>
        <w:tc>
          <w:tcPr>
            <w:tcW w:w="1646" w:type="dxa"/>
            <w:vAlign w:val="top"/>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619" w:type="dxa"/>
            <w:vAlign w:val="top"/>
          </w:tcPr>
          <w:p>
            <w:pPr>
              <w:rPr>
                <w:sz w:val="32"/>
                <w:szCs w:val="32"/>
              </w:rPr>
            </w:pPr>
          </w:p>
        </w:tc>
        <w:tc>
          <w:tcPr>
            <w:tcW w:w="645" w:type="dxa"/>
            <w:vAlign w:val="top"/>
          </w:tcPr>
          <w:p>
            <w:pPr>
              <w:rPr>
                <w:sz w:val="32"/>
                <w:szCs w:val="32"/>
              </w:rPr>
            </w:pPr>
          </w:p>
        </w:tc>
        <w:tc>
          <w:tcPr>
            <w:tcW w:w="2367" w:type="dxa"/>
            <w:vAlign w:val="top"/>
          </w:tcPr>
          <w:p>
            <w:pPr>
              <w:rPr>
                <w:sz w:val="32"/>
                <w:szCs w:val="32"/>
              </w:rPr>
            </w:pPr>
          </w:p>
        </w:tc>
        <w:tc>
          <w:tcPr>
            <w:tcW w:w="590" w:type="dxa"/>
            <w:vAlign w:val="top"/>
          </w:tcPr>
          <w:p>
            <w:pPr>
              <w:rPr>
                <w:sz w:val="32"/>
                <w:szCs w:val="32"/>
              </w:rPr>
            </w:pPr>
          </w:p>
        </w:tc>
        <w:tc>
          <w:tcPr>
            <w:tcW w:w="985" w:type="dxa"/>
            <w:vAlign w:val="top"/>
          </w:tcPr>
          <w:p>
            <w:pPr>
              <w:rPr>
                <w:sz w:val="32"/>
                <w:szCs w:val="32"/>
              </w:rPr>
            </w:pPr>
          </w:p>
        </w:tc>
        <w:tc>
          <w:tcPr>
            <w:tcW w:w="970" w:type="dxa"/>
            <w:vAlign w:val="top"/>
          </w:tcPr>
          <w:p>
            <w:pPr>
              <w:rPr>
                <w:sz w:val="32"/>
                <w:szCs w:val="32"/>
              </w:rPr>
            </w:pPr>
          </w:p>
        </w:tc>
        <w:tc>
          <w:tcPr>
            <w:tcW w:w="1000" w:type="dxa"/>
            <w:vAlign w:val="top"/>
          </w:tcPr>
          <w:p>
            <w:pPr>
              <w:rPr>
                <w:sz w:val="32"/>
                <w:szCs w:val="32"/>
              </w:rPr>
            </w:pPr>
          </w:p>
        </w:tc>
        <w:tc>
          <w:tcPr>
            <w:tcW w:w="1072" w:type="dxa"/>
            <w:vAlign w:val="top"/>
          </w:tcPr>
          <w:p>
            <w:pPr>
              <w:rPr>
                <w:sz w:val="32"/>
                <w:szCs w:val="32"/>
              </w:rPr>
            </w:pPr>
          </w:p>
        </w:tc>
        <w:tc>
          <w:tcPr>
            <w:tcW w:w="1337" w:type="dxa"/>
            <w:vAlign w:val="top"/>
          </w:tcPr>
          <w:p>
            <w:pPr>
              <w:rPr>
                <w:sz w:val="32"/>
                <w:szCs w:val="32"/>
              </w:rPr>
            </w:pPr>
          </w:p>
        </w:tc>
        <w:tc>
          <w:tcPr>
            <w:tcW w:w="1275" w:type="dxa"/>
            <w:vAlign w:val="top"/>
          </w:tcPr>
          <w:p>
            <w:pPr>
              <w:rPr>
                <w:sz w:val="32"/>
                <w:szCs w:val="32"/>
              </w:rPr>
            </w:pPr>
          </w:p>
        </w:tc>
        <w:tc>
          <w:tcPr>
            <w:tcW w:w="1020" w:type="dxa"/>
            <w:vAlign w:val="top"/>
          </w:tcPr>
          <w:p>
            <w:pPr>
              <w:rPr>
                <w:sz w:val="32"/>
                <w:szCs w:val="32"/>
              </w:rPr>
            </w:pPr>
          </w:p>
        </w:tc>
        <w:tc>
          <w:tcPr>
            <w:tcW w:w="975" w:type="dxa"/>
            <w:vAlign w:val="top"/>
          </w:tcPr>
          <w:p>
            <w:pPr>
              <w:rPr>
                <w:sz w:val="32"/>
                <w:szCs w:val="32"/>
              </w:rPr>
            </w:pPr>
          </w:p>
        </w:tc>
        <w:tc>
          <w:tcPr>
            <w:tcW w:w="1646" w:type="dxa"/>
            <w:vAlign w:val="top"/>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619" w:type="dxa"/>
            <w:vAlign w:val="top"/>
          </w:tcPr>
          <w:p>
            <w:pPr>
              <w:rPr>
                <w:sz w:val="32"/>
                <w:szCs w:val="32"/>
              </w:rPr>
            </w:pPr>
          </w:p>
        </w:tc>
        <w:tc>
          <w:tcPr>
            <w:tcW w:w="645" w:type="dxa"/>
            <w:vAlign w:val="top"/>
          </w:tcPr>
          <w:p>
            <w:pPr>
              <w:rPr>
                <w:sz w:val="32"/>
                <w:szCs w:val="32"/>
              </w:rPr>
            </w:pPr>
          </w:p>
        </w:tc>
        <w:tc>
          <w:tcPr>
            <w:tcW w:w="2367" w:type="dxa"/>
            <w:vAlign w:val="top"/>
          </w:tcPr>
          <w:p>
            <w:pPr>
              <w:rPr>
                <w:sz w:val="32"/>
                <w:szCs w:val="32"/>
              </w:rPr>
            </w:pPr>
          </w:p>
        </w:tc>
        <w:tc>
          <w:tcPr>
            <w:tcW w:w="590" w:type="dxa"/>
            <w:vAlign w:val="top"/>
          </w:tcPr>
          <w:p>
            <w:pPr>
              <w:rPr>
                <w:sz w:val="32"/>
                <w:szCs w:val="32"/>
              </w:rPr>
            </w:pPr>
          </w:p>
        </w:tc>
        <w:tc>
          <w:tcPr>
            <w:tcW w:w="985" w:type="dxa"/>
            <w:vAlign w:val="top"/>
          </w:tcPr>
          <w:p>
            <w:pPr>
              <w:rPr>
                <w:sz w:val="32"/>
                <w:szCs w:val="32"/>
              </w:rPr>
            </w:pPr>
          </w:p>
        </w:tc>
        <w:tc>
          <w:tcPr>
            <w:tcW w:w="970" w:type="dxa"/>
            <w:vAlign w:val="top"/>
          </w:tcPr>
          <w:p>
            <w:pPr>
              <w:rPr>
                <w:sz w:val="32"/>
                <w:szCs w:val="32"/>
              </w:rPr>
            </w:pPr>
          </w:p>
        </w:tc>
        <w:tc>
          <w:tcPr>
            <w:tcW w:w="1000" w:type="dxa"/>
            <w:vAlign w:val="top"/>
          </w:tcPr>
          <w:p>
            <w:pPr>
              <w:rPr>
                <w:sz w:val="32"/>
                <w:szCs w:val="32"/>
              </w:rPr>
            </w:pPr>
          </w:p>
        </w:tc>
        <w:tc>
          <w:tcPr>
            <w:tcW w:w="1072" w:type="dxa"/>
            <w:vAlign w:val="top"/>
          </w:tcPr>
          <w:p>
            <w:pPr>
              <w:rPr>
                <w:sz w:val="32"/>
                <w:szCs w:val="32"/>
              </w:rPr>
            </w:pPr>
          </w:p>
        </w:tc>
        <w:tc>
          <w:tcPr>
            <w:tcW w:w="1337" w:type="dxa"/>
            <w:vAlign w:val="top"/>
          </w:tcPr>
          <w:p>
            <w:pPr>
              <w:rPr>
                <w:sz w:val="32"/>
                <w:szCs w:val="32"/>
              </w:rPr>
            </w:pPr>
          </w:p>
        </w:tc>
        <w:tc>
          <w:tcPr>
            <w:tcW w:w="1275" w:type="dxa"/>
            <w:vAlign w:val="top"/>
          </w:tcPr>
          <w:p>
            <w:pPr>
              <w:rPr>
                <w:sz w:val="32"/>
                <w:szCs w:val="32"/>
              </w:rPr>
            </w:pPr>
          </w:p>
        </w:tc>
        <w:tc>
          <w:tcPr>
            <w:tcW w:w="1020" w:type="dxa"/>
            <w:vAlign w:val="top"/>
          </w:tcPr>
          <w:p>
            <w:pPr>
              <w:rPr>
                <w:sz w:val="32"/>
                <w:szCs w:val="32"/>
              </w:rPr>
            </w:pPr>
          </w:p>
        </w:tc>
        <w:tc>
          <w:tcPr>
            <w:tcW w:w="975" w:type="dxa"/>
            <w:vAlign w:val="top"/>
          </w:tcPr>
          <w:p>
            <w:pPr>
              <w:rPr>
                <w:sz w:val="32"/>
                <w:szCs w:val="32"/>
              </w:rPr>
            </w:pPr>
          </w:p>
        </w:tc>
        <w:tc>
          <w:tcPr>
            <w:tcW w:w="1646" w:type="dxa"/>
            <w:vAlign w:val="top"/>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19" w:type="dxa"/>
            <w:vAlign w:val="top"/>
          </w:tcPr>
          <w:p>
            <w:pPr>
              <w:widowControl/>
              <w:jc w:val="left"/>
              <w:rPr>
                <w:sz w:val="32"/>
                <w:szCs w:val="32"/>
              </w:rPr>
            </w:pPr>
          </w:p>
        </w:tc>
        <w:tc>
          <w:tcPr>
            <w:tcW w:w="645" w:type="dxa"/>
            <w:vAlign w:val="top"/>
          </w:tcPr>
          <w:p>
            <w:pPr>
              <w:widowControl/>
              <w:jc w:val="left"/>
              <w:rPr>
                <w:sz w:val="32"/>
                <w:szCs w:val="32"/>
              </w:rPr>
            </w:pPr>
          </w:p>
        </w:tc>
        <w:tc>
          <w:tcPr>
            <w:tcW w:w="2367" w:type="dxa"/>
            <w:vAlign w:val="top"/>
          </w:tcPr>
          <w:p>
            <w:pPr>
              <w:widowControl/>
              <w:jc w:val="left"/>
              <w:rPr>
                <w:sz w:val="32"/>
                <w:szCs w:val="32"/>
              </w:rPr>
            </w:pPr>
          </w:p>
        </w:tc>
        <w:tc>
          <w:tcPr>
            <w:tcW w:w="590" w:type="dxa"/>
            <w:vAlign w:val="top"/>
          </w:tcPr>
          <w:p>
            <w:pPr>
              <w:widowControl/>
              <w:jc w:val="left"/>
              <w:rPr>
                <w:sz w:val="32"/>
                <w:szCs w:val="32"/>
              </w:rPr>
            </w:pPr>
          </w:p>
        </w:tc>
        <w:tc>
          <w:tcPr>
            <w:tcW w:w="985" w:type="dxa"/>
            <w:vAlign w:val="top"/>
          </w:tcPr>
          <w:p>
            <w:pPr>
              <w:widowControl/>
              <w:jc w:val="left"/>
              <w:rPr>
                <w:sz w:val="32"/>
                <w:szCs w:val="32"/>
              </w:rPr>
            </w:pPr>
          </w:p>
        </w:tc>
        <w:tc>
          <w:tcPr>
            <w:tcW w:w="970" w:type="dxa"/>
            <w:vAlign w:val="top"/>
          </w:tcPr>
          <w:p>
            <w:pPr>
              <w:widowControl/>
              <w:jc w:val="left"/>
              <w:rPr>
                <w:sz w:val="32"/>
                <w:szCs w:val="32"/>
              </w:rPr>
            </w:pPr>
          </w:p>
        </w:tc>
        <w:tc>
          <w:tcPr>
            <w:tcW w:w="1000" w:type="dxa"/>
            <w:vAlign w:val="top"/>
          </w:tcPr>
          <w:p>
            <w:pPr>
              <w:widowControl/>
              <w:jc w:val="left"/>
              <w:rPr>
                <w:sz w:val="32"/>
                <w:szCs w:val="32"/>
              </w:rPr>
            </w:pPr>
          </w:p>
        </w:tc>
        <w:tc>
          <w:tcPr>
            <w:tcW w:w="1072" w:type="dxa"/>
            <w:vAlign w:val="top"/>
          </w:tcPr>
          <w:p>
            <w:pPr>
              <w:widowControl/>
              <w:jc w:val="left"/>
              <w:rPr>
                <w:sz w:val="32"/>
                <w:szCs w:val="32"/>
              </w:rPr>
            </w:pPr>
          </w:p>
        </w:tc>
        <w:tc>
          <w:tcPr>
            <w:tcW w:w="1337" w:type="dxa"/>
            <w:vAlign w:val="top"/>
          </w:tcPr>
          <w:p>
            <w:pPr>
              <w:widowControl/>
              <w:jc w:val="left"/>
              <w:rPr>
                <w:sz w:val="32"/>
                <w:szCs w:val="32"/>
              </w:rPr>
            </w:pPr>
          </w:p>
        </w:tc>
        <w:tc>
          <w:tcPr>
            <w:tcW w:w="1275" w:type="dxa"/>
            <w:vAlign w:val="top"/>
          </w:tcPr>
          <w:p>
            <w:pPr>
              <w:widowControl/>
              <w:jc w:val="left"/>
              <w:rPr>
                <w:sz w:val="32"/>
                <w:szCs w:val="32"/>
              </w:rPr>
            </w:pPr>
          </w:p>
        </w:tc>
        <w:tc>
          <w:tcPr>
            <w:tcW w:w="1020" w:type="dxa"/>
            <w:vAlign w:val="top"/>
          </w:tcPr>
          <w:p>
            <w:pPr>
              <w:widowControl/>
              <w:jc w:val="left"/>
              <w:rPr>
                <w:sz w:val="32"/>
                <w:szCs w:val="32"/>
              </w:rPr>
            </w:pPr>
          </w:p>
        </w:tc>
        <w:tc>
          <w:tcPr>
            <w:tcW w:w="975" w:type="dxa"/>
            <w:vAlign w:val="top"/>
          </w:tcPr>
          <w:p>
            <w:pPr>
              <w:widowControl/>
              <w:jc w:val="left"/>
              <w:rPr>
                <w:sz w:val="32"/>
                <w:szCs w:val="32"/>
              </w:rPr>
            </w:pPr>
          </w:p>
        </w:tc>
        <w:tc>
          <w:tcPr>
            <w:tcW w:w="1646" w:type="dxa"/>
            <w:vAlign w:val="top"/>
          </w:tcPr>
          <w:p>
            <w:pPr>
              <w:widowControl/>
              <w:jc w:val="lef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19" w:type="dxa"/>
            <w:vAlign w:val="top"/>
          </w:tcPr>
          <w:p>
            <w:pPr>
              <w:widowControl/>
              <w:jc w:val="left"/>
              <w:rPr>
                <w:sz w:val="32"/>
                <w:szCs w:val="32"/>
              </w:rPr>
            </w:pPr>
          </w:p>
        </w:tc>
        <w:tc>
          <w:tcPr>
            <w:tcW w:w="645" w:type="dxa"/>
            <w:vAlign w:val="top"/>
          </w:tcPr>
          <w:p>
            <w:pPr>
              <w:widowControl/>
              <w:jc w:val="left"/>
              <w:rPr>
                <w:sz w:val="32"/>
                <w:szCs w:val="32"/>
              </w:rPr>
            </w:pPr>
          </w:p>
        </w:tc>
        <w:tc>
          <w:tcPr>
            <w:tcW w:w="2367" w:type="dxa"/>
            <w:vAlign w:val="top"/>
          </w:tcPr>
          <w:p>
            <w:pPr>
              <w:widowControl/>
              <w:jc w:val="left"/>
              <w:rPr>
                <w:sz w:val="32"/>
                <w:szCs w:val="32"/>
              </w:rPr>
            </w:pPr>
          </w:p>
        </w:tc>
        <w:tc>
          <w:tcPr>
            <w:tcW w:w="590" w:type="dxa"/>
            <w:vAlign w:val="top"/>
          </w:tcPr>
          <w:p>
            <w:pPr>
              <w:widowControl/>
              <w:jc w:val="left"/>
              <w:rPr>
                <w:sz w:val="32"/>
                <w:szCs w:val="32"/>
              </w:rPr>
            </w:pPr>
          </w:p>
        </w:tc>
        <w:tc>
          <w:tcPr>
            <w:tcW w:w="985" w:type="dxa"/>
            <w:vAlign w:val="top"/>
          </w:tcPr>
          <w:p>
            <w:pPr>
              <w:widowControl/>
              <w:jc w:val="left"/>
              <w:rPr>
                <w:sz w:val="32"/>
                <w:szCs w:val="32"/>
              </w:rPr>
            </w:pPr>
          </w:p>
        </w:tc>
        <w:tc>
          <w:tcPr>
            <w:tcW w:w="970" w:type="dxa"/>
            <w:vAlign w:val="top"/>
          </w:tcPr>
          <w:p>
            <w:pPr>
              <w:widowControl/>
              <w:jc w:val="left"/>
              <w:rPr>
                <w:sz w:val="32"/>
                <w:szCs w:val="32"/>
              </w:rPr>
            </w:pPr>
          </w:p>
        </w:tc>
        <w:tc>
          <w:tcPr>
            <w:tcW w:w="1000" w:type="dxa"/>
            <w:vAlign w:val="top"/>
          </w:tcPr>
          <w:p>
            <w:pPr>
              <w:widowControl/>
              <w:jc w:val="left"/>
              <w:rPr>
                <w:sz w:val="32"/>
                <w:szCs w:val="32"/>
              </w:rPr>
            </w:pPr>
          </w:p>
        </w:tc>
        <w:tc>
          <w:tcPr>
            <w:tcW w:w="1072" w:type="dxa"/>
            <w:vAlign w:val="top"/>
          </w:tcPr>
          <w:p>
            <w:pPr>
              <w:widowControl/>
              <w:jc w:val="left"/>
              <w:rPr>
                <w:sz w:val="32"/>
                <w:szCs w:val="32"/>
              </w:rPr>
            </w:pPr>
          </w:p>
        </w:tc>
        <w:tc>
          <w:tcPr>
            <w:tcW w:w="1337" w:type="dxa"/>
            <w:vAlign w:val="top"/>
          </w:tcPr>
          <w:p>
            <w:pPr>
              <w:widowControl/>
              <w:jc w:val="left"/>
              <w:rPr>
                <w:sz w:val="32"/>
                <w:szCs w:val="32"/>
              </w:rPr>
            </w:pPr>
          </w:p>
        </w:tc>
        <w:tc>
          <w:tcPr>
            <w:tcW w:w="1275" w:type="dxa"/>
            <w:vAlign w:val="top"/>
          </w:tcPr>
          <w:p>
            <w:pPr>
              <w:widowControl/>
              <w:jc w:val="left"/>
              <w:rPr>
                <w:sz w:val="32"/>
                <w:szCs w:val="32"/>
              </w:rPr>
            </w:pPr>
          </w:p>
        </w:tc>
        <w:tc>
          <w:tcPr>
            <w:tcW w:w="1020" w:type="dxa"/>
            <w:vAlign w:val="top"/>
          </w:tcPr>
          <w:p>
            <w:pPr>
              <w:widowControl/>
              <w:jc w:val="left"/>
              <w:rPr>
                <w:sz w:val="32"/>
                <w:szCs w:val="32"/>
              </w:rPr>
            </w:pPr>
          </w:p>
        </w:tc>
        <w:tc>
          <w:tcPr>
            <w:tcW w:w="975" w:type="dxa"/>
            <w:vAlign w:val="top"/>
          </w:tcPr>
          <w:p>
            <w:pPr>
              <w:widowControl/>
              <w:jc w:val="left"/>
              <w:rPr>
                <w:sz w:val="32"/>
                <w:szCs w:val="32"/>
              </w:rPr>
            </w:pPr>
          </w:p>
        </w:tc>
        <w:tc>
          <w:tcPr>
            <w:tcW w:w="1646" w:type="dxa"/>
            <w:vAlign w:val="top"/>
          </w:tcPr>
          <w:p>
            <w:pPr>
              <w:widowControl/>
              <w:jc w:val="left"/>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19" w:type="dxa"/>
            <w:vAlign w:val="top"/>
          </w:tcPr>
          <w:p>
            <w:pPr>
              <w:widowControl/>
              <w:jc w:val="left"/>
              <w:rPr>
                <w:sz w:val="32"/>
                <w:szCs w:val="32"/>
              </w:rPr>
            </w:pPr>
          </w:p>
        </w:tc>
        <w:tc>
          <w:tcPr>
            <w:tcW w:w="645" w:type="dxa"/>
            <w:vAlign w:val="top"/>
          </w:tcPr>
          <w:p>
            <w:pPr>
              <w:widowControl/>
              <w:jc w:val="left"/>
              <w:rPr>
                <w:sz w:val="32"/>
                <w:szCs w:val="32"/>
              </w:rPr>
            </w:pPr>
          </w:p>
        </w:tc>
        <w:tc>
          <w:tcPr>
            <w:tcW w:w="2367" w:type="dxa"/>
            <w:vAlign w:val="top"/>
          </w:tcPr>
          <w:p>
            <w:pPr>
              <w:widowControl/>
              <w:jc w:val="left"/>
              <w:rPr>
                <w:sz w:val="32"/>
                <w:szCs w:val="32"/>
              </w:rPr>
            </w:pPr>
          </w:p>
        </w:tc>
        <w:tc>
          <w:tcPr>
            <w:tcW w:w="590" w:type="dxa"/>
            <w:vAlign w:val="top"/>
          </w:tcPr>
          <w:p>
            <w:pPr>
              <w:widowControl/>
              <w:jc w:val="left"/>
              <w:rPr>
                <w:sz w:val="32"/>
                <w:szCs w:val="32"/>
              </w:rPr>
            </w:pPr>
          </w:p>
        </w:tc>
        <w:tc>
          <w:tcPr>
            <w:tcW w:w="985" w:type="dxa"/>
            <w:vAlign w:val="top"/>
          </w:tcPr>
          <w:p>
            <w:pPr>
              <w:widowControl/>
              <w:jc w:val="left"/>
              <w:rPr>
                <w:sz w:val="32"/>
                <w:szCs w:val="32"/>
              </w:rPr>
            </w:pPr>
          </w:p>
        </w:tc>
        <w:tc>
          <w:tcPr>
            <w:tcW w:w="970" w:type="dxa"/>
            <w:vAlign w:val="top"/>
          </w:tcPr>
          <w:p>
            <w:pPr>
              <w:widowControl/>
              <w:jc w:val="left"/>
              <w:rPr>
                <w:sz w:val="32"/>
                <w:szCs w:val="32"/>
              </w:rPr>
            </w:pPr>
          </w:p>
        </w:tc>
        <w:tc>
          <w:tcPr>
            <w:tcW w:w="1000" w:type="dxa"/>
            <w:vAlign w:val="top"/>
          </w:tcPr>
          <w:p>
            <w:pPr>
              <w:widowControl/>
              <w:jc w:val="left"/>
              <w:rPr>
                <w:sz w:val="32"/>
                <w:szCs w:val="32"/>
              </w:rPr>
            </w:pPr>
          </w:p>
        </w:tc>
        <w:tc>
          <w:tcPr>
            <w:tcW w:w="1072" w:type="dxa"/>
            <w:vAlign w:val="top"/>
          </w:tcPr>
          <w:p>
            <w:pPr>
              <w:widowControl/>
              <w:jc w:val="left"/>
              <w:rPr>
                <w:sz w:val="32"/>
                <w:szCs w:val="32"/>
              </w:rPr>
            </w:pPr>
          </w:p>
        </w:tc>
        <w:tc>
          <w:tcPr>
            <w:tcW w:w="1337" w:type="dxa"/>
            <w:vAlign w:val="top"/>
          </w:tcPr>
          <w:p>
            <w:pPr>
              <w:widowControl/>
              <w:jc w:val="left"/>
              <w:rPr>
                <w:sz w:val="32"/>
                <w:szCs w:val="32"/>
              </w:rPr>
            </w:pPr>
          </w:p>
        </w:tc>
        <w:tc>
          <w:tcPr>
            <w:tcW w:w="1275" w:type="dxa"/>
            <w:vAlign w:val="top"/>
          </w:tcPr>
          <w:p>
            <w:pPr>
              <w:widowControl/>
              <w:jc w:val="left"/>
              <w:rPr>
                <w:sz w:val="32"/>
                <w:szCs w:val="32"/>
              </w:rPr>
            </w:pPr>
          </w:p>
        </w:tc>
        <w:tc>
          <w:tcPr>
            <w:tcW w:w="1020" w:type="dxa"/>
            <w:vAlign w:val="top"/>
          </w:tcPr>
          <w:p>
            <w:pPr>
              <w:widowControl/>
              <w:jc w:val="left"/>
              <w:rPr>
                <w:sz w:val="32"/>
                <w:szCs w:val="32"/>
              </w:rPr>
            </w:pPr>
          </w:p>
        </w:tc>
        <w:tc>
          <w:tcPr>
            <w:tcW w:w="975" w:type="dxa"/>
            <w:vAlign w:val="top"/>
          </w:tcPr>
          <w:p>
            <w:pPr>
              <w:widowControl/>
              <w:jc w:val="left"/>
              <w:rPr>
                <w:sz w:val="32"/>
                <w:szCs w:val="32"/>
              </w:rPr>
            </w:pPr>
          </w:p>
        </w:tc>
        <w:tc>
          <w:tcPr>
            <w:tcW w:w="1646" w:type="dxa"/>
            <w:vAlign w:val="top"/>
          </w:tcPr>
          <w:p>
            <w:pPr>
              <w:widowControl/>
              <w:jc w:val="left"/>
              <w:rPr>
                <w:sz w:val="32"/>
                <w:szCs w:val="32"/>
              </w:rPr>
            </w:pPr>
          </w:p>
        </w:tc>
      </w:tr>
    </w:tbl>
    <w:p>
      <w:pPr>
        <w:jc w:val="left"/>
        <w:rPr>
          <w:rFonts w:hint="eastAsia" w:ascii="宋体" w:hAnsi="Arial" w:cs="宋体"/>
          <w:color w:val="000000"/>
          <w:kern w:val="0"/>
          <w:szCs w:val="21"/>
          <w:lang w:val="zh-CN"/>
        </w:rPr>
        <w:sectPr>
          <w:pgSz w:w="16838" w:h="11906" w:orient="landscape"/>
          <w:pgMar w:top="1701" w:right="1644" w:bottom="1644" w:left="1644" w:header="851" w:footer="992" w:gutter="0"/>
          <w:pgNumType w:fmt="decimal"/>
          <w:cols w:space="0" w:num="1"/>
          <w:rtlGutter w:val="0"/>
          <w:docGrid w:type="lines" w:linePitch="317" w:charSpace="0"/>
        </w:sectPr>
      </w:pPr>
      <w:r>
        <w:rPr>
          <w:rFonts w:hint="eastAsia" w:ascii="宋体" w:hAnsi="Arial" w:cs="宋体"/>
          <w:color w:val="000000"/>
          <w:kern w:val="0"/>
          <w:szCs w:val="21"/>
          <w:lang w:val="zh-CN"/>
        </w:rPr>
        <w:t>使用方式：指统一经营、承包、出租、投资、其它。本台账不登记虽属经营性固定资产，但尚未采取承包、出租、投资等方式经营利用的固定资产。</w:t>
      </w:r>
    </w:p>
    <w:p>
      <w:pPr>
        <w:jc w:val="center"/>
        <w:rPr>
          <w:b/>
          <w:bCs/>
          <w:sz w:val="44"/>
          <w:szCs w:val="44"/>
        </w:rPr>
      </w:pPr>
      <w:r>
        <w:rPr>
          <w:rFonts w:hint="eastAsia"/>
          <w:b/>
          <w:bCs/>
          <w:sz w:val="44"/>
          <w:szCs w:val="44"/>
          <w:lang w:eastAsia="zh-CN"/>
        </w:rPr>
        <w:t>农村集体</w:t>
      </w:r>
      <w:r>
        <w:rPr>
          <w:rFonts w:hint="eastAsia"/>
          <w:b/>
          <w:bCs/>
          <w:sz w:val="44"/>
          <w:szCs w:val="44"/>
        </w:rPr>
        <w:t>固定资产登记卡片</w:t>
      </w:r>
    </w:p>
    <w:p>
      <w:pPr>
        <w:rPr>
          <w:sz w:val="32"/>
          <w:szCs w:val="32"/>
        </w:rPr>
      </w:pPr>
      <w:r>
        <w:rPr>
          <w:rFonts w:hint="eastAsia"/>
          <w:sz w:val="30"/>
          <w:szCs w:val="30"/>
        </w:rPr>
        <w:t>单位：                              卡片编号：</w:t>
      </w:r>
    </w:p>
    <w:tbl>
      <w:tblPr>
        <w:tblStyle w:val="10"/>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2"/>
        <w:gridCol w:w="1979"/>
        <w:gridCol w:w="2494"/>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2222" w:type="dxa"/>
            <w:vAlign w:val="center"/>
          </w:tcPr>
          <w:p>
            <w:pPr>
              <w:jc w:val="center"/>
              <w:rPr>
                <w:b/>
                <w:bCs/>
                <w:sz w:val="32"/>
                <w:szCs w:val="32"/>
              </w:rPr>
            </w:pPr>
            <w:r>
              <w:rPr>
                <w:rFonts w:hint="eastAsia"/>
                <w:b/>
                <w:bCs/>
                <w:sz w:val="32"/>
                <w:szCs w:val="32"/>
              </w:rPr>
              <w:t>固定资产名称</w:t>
            </w:r>
          </w:p>
        </w:tc>
        <w:tc>
          <w:tcPr>
            <w:tcW w:w="1979" w:type="dxa"/>
            <w:vAlign w:val="center"/>
          </w:tcPr>
          <w:p>
            <w:pPr>
              <w:jc w:val="center"/>
              <w:rPr>
                <w:b/>
                <w:bCs/>
                <w:sz w:val="32"/>
                <w:szCs w:val="32"/>
              </w:rPr>
            </w:pPr>
          </w:p>
        </w:tc>
        <w:tc>
          <w:tcPr>
            <w:tcW w:w="2494" w:type="dxa"/>
            <w:vAlign w:val="center"/>
          </w:tcPr>
          <w:p>
            <w:pPr>
              <w:jc w:val="center"/>
              <w:rPr>
                <w:b/>
                <w:bCs/>
                <w:sz w:val="32"/>
                <w:szCs w:val="32"/>
              </w:rPr>
            </w:pPr>
            <w:r>
              <w:rPr>
                <w:rFonts w:hint="eastAsia"/>
                <w:b/>
                <w:bCs/>
                <w:sz w:val="32"/>
                <w:szCs w:val="32"/>
              </w:rPr>
              <w:t>规格型号</w:t>
            </w:r>
          </w:p>
        </w:tc>
        <w:tc>
          <w:tcPr>
            <w:tcW w:w="1945"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2222" w:type="dxa"/>
            <w:vAlign w:val="center"/>
          </w:tcPr>
          <w:p>
            <w:pPr>
              <w:jc w:val="center"/>
              <w:rPr>
                <w:b/>
                <w:bCs/>
                <w:sz w:val="32"/>
                <w:szCs w:val="32"/>
              </w:rPr>
            </w:pPr>
            <w:r>
              <w:rPr>
                <w:rFonts w:hint="eastAsia"/>
                <w:b/>
                <w:bCs/>
                <w:sz w:val="32"/>
                <w:szCs w:val="32"/>
              </w:rPr>
              <w:t>类别名称</w:t>
            </w:r>
          </w:p>
        </w:tc>
        <w:tc>
          <w:tcPr>
            <w:tcW w:w="1979" w:type="dxa"/>
            <w:vAlign w:val="center"/>
          </w:tcPr>
          <w:p>
            <w:pPr>
              <w:jc w:val="center"/>
              <w:rPr>
                <w:b/>
                <w:bCs/>
                <w:sz w:val="32"/>
                <w:szCs w:val="32"/>
              </w:rPr>
            </w:pPr>
          </w:p>
        </w:tc>
        <w:tc>
          <w:tcPr>
            <w:tcW w:w="2494" w:type="dxa"/>
            <w:vAlign w:val="center"/>
          </w:tcPr>
          <w:p>
            <w:pPr>
              <w:jc w:val="center"/>
              <w:rPr>
                <w:b/>
                <w:bCs/>
                <w:sz w:val="32"/>
                <w:szCs w:val="32"/>
              </w:rPr>
            </w:pPr>
            <w:r>
              <w:rPr>
                <w:rFonts w:hint="eastAsia"/>
                <w:b/>
                <w:bCs/>
                <w:sz w:val="32"/>
                <w:szCs w:val="32"/>
              </w:rPr>
              <w:t>责任人</w:t>
            </w:r>
          </w:p>
        </w:tc>
        <w:tc>
          <w:tcPr>
            <w:tcW w:w="1945"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2222" w:type="dxa"/>
            <w:vAlign w:val="center"/>
          </w:tcPr>
          <w:p>
            <w:pPr>
              <w:jc w:val="center"/>
              <w:rPr>
                <w:b/>
                <w:bCs/>
                <w:sz w:val="32"/>
                <w:szCs w:val="32"/>
              </w:rPr>
            </w:pPr>
            <w:r>
              <w:rPr>
                <w:rFonts w:hint="eastAsia"/>
                <w:b/>
                <w:bCs/>
                <w:sz w:val="32"/>
                <w:szCs w:val="32"/>
              </w:rPr>
              <w:t>使用单位</w:t>
            </w:r>
          </w:p>
        </w:tc>
        <w:tc>
          <w:tcPr>
            <w:tcW w:w="1979" w:type="dxa"/>
            <w:vAlign w:val="center"/>
          </w:tcPr>
          <w:p>
            <w:pPr>
              <w:jc w:val="center"/>
              <w:rPr>
                <w:b/>
                <w:bCs/>
                <w:sz w:val="32"/>
                <w:szCs w:val="32"/>
              </w:rPr>
            </w:pPr>
          </w:p>
        </w:tc>
        <w:tc>
          <w:tcPr>
            <w:tcW w:w="2494" w:type="dxa"/>
            <w:vAlign w:val="center"/>
          </w:tcPr>
          <w:p>
            <w:pPr>
              <w:jc w:val="center"/>
              <w:rPr>
                <w:b/>
                <w:bCs/>
                <w:sz w:val="32"/>
                <w:szCs w:val="32"/>
              </w:rPr>
            </w:pPr>
            <w:r>
              <w:rPr>
                <w:rFonts w:hint="eastAsia"/>
                <w:b/>
                <w:bCs/>
                <w:sz w:val="32"/>
                <w:szCs w:val="32"/>
              </w:rPr>
              <w:t>使用状况</w:t>
            </w:r>
          </w:p>
        </w:tc>
        <w:tc>
          <w:tcPr>
            <w:tcW w:w="1945"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2222" w:type="dxa"/>
            <w:vAlign w:val="center"/>
          </w:tcPr>
          <w:p>
            <w:pPr>
              <w:jc w:val="center"/>
              <w:rPr>
                <w:b/>
                <w:bCs/>
                <w:sz w:val="32"/>
                <w:szCs w:val="32"/>
              </w:rPr>
            </w:pPr>
            <w:r>
              <w:rPr>
                <w:rFonts w:hint="eastAsia"/>
                <w:b/>
                <w:bCs/>
                <w:sz w:val="32"/>
                <w:szCs w:val="32"/>
              </w:rPr>
              <w:t>存放地点</w:t>
            </w:r>
          </w:p>
        </w:tc>
        <w:tc>
          <w:tcPr>
            <w:tcW w:w="1979" w:type="dxa"/>
            <w:vAlign w:val="center"/>
          </w:tcPr>
          <w:p>
            <w:pPr>
              <w:jc w:val="center"/>
              <w:rPr>
                <w:b/>
                <w:bCs/>
                <w:sz w:val="32"/>
                <w:szCs w:val="32"/>
              </w:rPr>
            </w:pPr>
          </w:p>
        </w:tc>
        <w:tc>
          <w:tcPr>
            <w:tcW w:w="2494" w:type="dxa"/>
            <w:vAlign w:val="center"/>
          </w:tcPr>
          <w:p>
            <w:pPr>
              <w:jc w:val="center"/>
              <w:rPr>
                <w:b/>
                <w:bCs/>
                <w:sz w:val="32"/>
                <w:szCs w:val="32"/>
              </w:rPr>
            </w:pPr>
            <w:r>
              <w:rPr>
                <w:rFonts w:hint="eastAsia"/>
                <w:b/>
                <w:bCs/>
                <w:sz w:val="32"/>
                <w:szCs w:val="32"/>
              </w:rPr>
              <w:t>开始使用日期</w:t>
            </w:r>
          </w:p>
        </w:tc>
        <w:tc>
          <w:tcPr>
            <w:tcW w:w="1945"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2222" w:type="dxa"/>
            <w:vAlign w:val="center"/>
          </w:tcPr>
          <w:p>
            <w:pPr>
              <w:jc w:val="center"/>
              <w:rPr>
                <w:b/>
                <w:bCs/>
                <w:sz w:val="32"/>
                <w:szCs w:val="32"/>
              </w:rPr>
            </w:pPr>
            <w:r>
              <w:rPr>
                <w:rFonts w:hint="eastAsia"/>
                <w:b/>
                <w:bCs/>
                <w:sz w:val="32"/>
                <w:szCs w:val="32"/>
              </w:rPr>
              <w:t>预计使用年限</w:t>
            </w:r>
          </w:p>
        </w:tc>
        <w:tc>
          <w:tcPr>
            <w:tcW w:w="1979" w:type="dxa"/>
            <w:vAlign w:val="center"/>
          </w:tcPr>
          <w:p>
            <w:pPr>
              <w:jc w:val="center"/>
              <w:rPr>
                <w:b/>
                <w:bCs/>
                <w:sz w:val="32"/>
                <w:szCs w:val="32"/>
              </w:rPr>
            </w:pPr>
          </w:p>
        </w:tc>
        <w:tc>
          <w:tcPr>
            <w:tcW w:w="2494" w:type="dxa"/>
            <w:vAlign w:val="center"/>
          </w:tcPr>
          <w:p>
            <w:pPr>
              <w:jc w:val="center"/>
              <w:rPr>
                <w:b/>
                <w:bCs/>
                <w:sz w:val="32"/>
                <w:szCs w:val="32"/>
              </w:rPr>
            </w:pPr>
            <w:r>
              <w:rPr>
                <w:rFonts w:hint="eastAsia"/>
                <w:b/>
                <w:bCs/>
                <w:sz w:val="32"/>
                <w:szCs w:val="32"/>
              </w:rPr>
              <w:t>原总值</w:t>
            </w:r>
          </w:p>
        </w:tc>
        <w:tc>
          <w:tcPr>
            <w:tcW w:w="1945"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2222" w:type="dxa"/>
            <w:vAlign w:val="center"/>
          </w:tcPr>
          <w:p>
            <w:pPr>
              <w:jc w:val="center"/>
              <w:rPr>
                <w:b/>
                <w:bCs/>
                <w:sz w:val="32"/>
                <w:szCs w:val="32"/>
              </w:rPr>
            </w:pPr>
            <w:r>
              <w:rPr>
                <w:rFonts w:hint="eastAsia"/>
                <w:b/>
                <w:bCs/>
                <w:sz w:val="32"/>
                <w:szCs w:val="32"/>
              </w:rPr>
              <w:t>录入人</w:t>
            </w:r>
          </w:p>
        </w:tc>
        <w:tc>
          <w:tcPr>
            <w:tcW w:w="1979" w:type="dxa"/>
            <w:vAlign w:val="center"/>
          </w:tcPr>
          <w:p>
            <w:pPr>
              <w:jc w:val="center"/>
              <w:rPr>
                <w:b/>
                <w:bCs/>
                <w:sz w:val="32"/>
                <w:szCs w:val="32"/>
              </w:rPr>
            </w:pPr>
          </w:p>
        </w:tc>
        <w:tc>
          <w:tcPr>
            <w:tcW w:w="2494" w:type="dxa"/>
            <w:vAlign w:val="center"/>
          </w:tcPr>
          <w:p>
            <w:pPr>
              <w:jc w:val="center"/>
              <w:rPr>
                <w:b/>
                <w:bCs/>
                <w:sz w:val="32"/>
                <w:szCs w:val="32"/>
              </w:rPr>
            </w:pPr>
            <w:r>
              <w:rPr>
                <w:rFonts w:hint="eastAsia"/>
                <w:b/>
                <w:bCs/>
                <w:sz w:val="32"/>
                <w:szCs w:val="32"/>
              </w:rPr>
              <w:t>现总值</w:t>
            </w:r>
          </w:p>
        </w:tc>
        <w:tc>
          <w:tcPr>
            <w:tcW w:w="1945"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2222" w:type="dxa"/>
            <w:vAlign w:val="center"/>
          </w:tcPr>
          <w:p>
            <w:pPr>
              <w:jc w:val="center"/>
              <w:rPr>
                <w:b/>
                <w:bCs/>
                <w:sz w:val="32"/>
                <w:szCs w:val="32"/>
              </w:rPr>
            </w:pPr>
            <w:r>
              <w:rPr>
                <w:rFonts w:hint="eastAsia"/>
                <w:b/>
                <w:bCs/>
                <w:sz w:val="32"/>
                <w:szCs w:val="32"/>
              </w:rPr>
              <w:t>录入日期</w:t>
            </w:r>
          </w:p>
        </w:tc>
        <w:tc>
          <w:tcPr>
            <w:tcW w:w="1979" w:type="dxa"/>
            <w:vAlign w:val="center"/>
          </w:tcPr>
          <w:p>
            <w:pPr>
              <w:jc w:val="center"/>
              <w:rPr>
                <w:b/>
                <w:bCs/>
                <w:sz w:val="32"/>
                <w:szCs w:val="32"/>
              </w:rPr>
            </w:pPr>
          </w:p>
        </w:tc>
        <w:tc>
          <w:tcPr>
            <w:tcW w:w="2494" w:type="dxa"/>
            <w:vAlign w:val="center"/>
          </w:tcPr>
          <w:p>
            <w:pPr>
              <w:jc w:val="center"/>
              <w:rPr>
                <w:b/>
                <w:bCs/>
                <w:sz w:val="32"/>
                <w:szCs w:val="32"/>
              </w:rPr>
            </w:pPr>
            <w:r>
              <w:rPr>
                <w:rFonts w:hint="eastAsia"/>
                <w:b/>
                <w:bCs/>
                <w:sz w:val="32"/>
                <w:szCs w:val="32"/>
              </w:rPr>
              <w:t>数量</w:t>
            </w:r>
          </w:p>
        </w:tc>
        <w:tc>
          <w:tcPr>
            <w:tcW w:w="1945"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7" w:hRule="atLeast"/>
          <w:jc w:val="center"/>
        </w:trPr>
        <w:tc>
          <w:tcPr>
            <w:tcW w:w="8640" w:type="dxa"/>
            <w:gridSpan w:val="4"/>
            <w:vAlign w:val="center"/>
          </w:tcPr>
          <w:p>
            <w:pPr>
              <w:jc w:val="center"/>
              <w:rPr>
                <w:sz w:val="32"/>
                <w:szCs w:val="32"/>
              </w:rPr>
            </w:pPr>
            <w:r>
              <w:rPr>
                <w:rFonts w:hint="eastAsia"/>
                <w:sz w:val="32"/>
                <w:szCs w:val="32"/>
              </w:rPr>
              <w:t>照片粘贴处</w:t>
            </w:r>
          </w:p>
        </w:tc>
      </w:tr>
    </w:tbl>
    <w:p>
      <w:pPr>
        <w:sectPr>
          <w:pgSz w:w="11906" w:h="16838"/>
          <w:pgMar w:top="1644" w:right="1644" w:bottom="1644" w:left="1701" w:header="851" w:footer="992" w:gutter="0"/>
          <w:pgNumType w:fmt="decimal"/>
          <w:cols w:space="0" w:num="1"/>
          <w:rtlGutter w:val="0"/>
          <w:docGrid w:type="lines" w:linePitch="317" w:charSpace="0"/>
        </w:sectPr>
      </w:pPr>
    </w:p>
    <w:tbl>
      <w:tblPr>
        <w:tblStyle w:val="9"/>
        <w:tblW w:w="13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56"/>
        <w:gridCol w:w="2107"/>
        <w:gridCol w:w="953"/>
        <w:gridCol w:w="1019"/>
        <w:gridCol w:w="1923"/>
        <w:gridCol w:w="1112"/>
        <w:gridCol w:w="1392"/>
        <w:gridCol w:w="1140"/>
        <w:gridCol w:w="1181"/>
        <w:gridCol w:w="953"/>
        <w:gridCol w:w="1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1" w:hRule="atLeast"/>
        </w:trPr>
        <w:tc>
          <w:tcPr>
            <w:tcW w:w="13780" w:type="dxa"/>
            <w:gridSpan w:val="11"/>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农村集体经济组织承包合同台账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7" w:hRule="atLeast"/>
        </w:trPr>
        <w:tc>
          <w:tcPr>
            <w:tcW w:w="4635" w:type="dxa"/>
            <w:gridSpan w:val="4"/>
            <w:shd w:val="clear" w:color="auto" w:fill="auto"/>
            <w:vAlign w:val="center"/>
          </w:tcPr>
          <w:p>
            <w:pPr>
              <w:rPr>
                <w:rFonts w:hint="eastAsia" w:ascii="宋体" w:hAnsi="宋体" w:eastAsia="宋体" w:cs="宋体"/>
                <w:i w:val="0"/>
                <w:color w:val="000000"/>
                <w:sz w:val="22"/>
                <w:szCs w:val="22"/>
                <w:u w:val="single"/>
              </w:rPr>
            </w:pPr>
            <w:r>
              <w:rPr>
                <w:rFonts w:hint="eastAsia" w:ascii="宋体" w:hAnsi="宋体" w:eastAsia="宋体" w:cs="宋体"/>
                <w:i w:val="0"/>
                <w:color w:val="000000"/>
                <w:kern w:val="0"/>
                <w:sz w:val="22"/>
                <w:szCs w:val="22"/>
                <w:u w:val="single"/>
                <w:lang w:val="en-US" w:eastAsia="zh-CN" w:bidi="ar"/>
              </w:rPr>
              <w:t xml:space="preserve">        </w:t>
            </w:r>
            <w:r>
              <w:rPr>
                <w:rFonts w:ascii="font-weight : 400" w:hAnsi="font-weight : 400" w:eastAsia="font-weight : 400" w:cs="font-weight : 400"/>
                <w:i w:val="0"/>
                <w:color w:val="000000"/>
                <w:kern w:val="0"/>
                <w:sz w:val="22"/>
                <w:szCs w:val="22"/>
                <w:u w:val="none"/>
                <w:lang w:val="en-US" w:eastAsia="zh-CN" w:bidi="ar"/>
              </w:rPr>
              <w:t>乡（镇）</w:t>
            </w:r>
            <w:r>
              <w:rPr>
                <w:rFonts w:hint="eastAsia" w:ascii="宋体" w:hAnsi="宋体" w:eastAsia="宋体" w:cs="宋体"/>
                <w:i w:val="0"/>
                <w:color w:val="000000"/>
                <w:kern w:val="0"/>
                <w:sz w:val="22"/>
                <w:szCs w:val="22"/>
                <w:u w:val="single"/>
                <w:lang w:val="en-US" w:eastAsia="zh-CN" w:bidi="ar"/>
              </w:rPr>
              <w:t xml:space="preserve">      </w:t>
            </w:r>
            <w:r>
              <w:rPr>
                <w:rFonts w:ascii="font-weight : 400" w:hAnsi="font-weight : 400" w:eastAsia="font-weight : 400" w:cs="font-weight : 400"/>
                <w:i w:val="0"/>
                <w:color w:val="000000"/>
                <w:kern w:val="0"/>
                <w:sz w:val="22"/>
                <w:szCs w:val="22"/>
                <w:u w:val="none"/>
                <w:lang w:val="en-US" w:eastAsia="zh-CN" w:bidi="ar"/>
              </w:rPr>
              <w:t>村（组）</w:t>
            </w:r>
          </w:p>
        </w:tc>
        <w:tc>
          <w:tcPr>
            <w:tcW w:w="1923" w:type="dxa"/>
            <w:shd w:val="clear" w:color="auto" w:fill="auto"/>
            <w:vAlign w:val="center"/>
          </w:tcPr>
          <w:p>
            <w:pPr>
              <w:rPr>
                <w:rFonts w:hint="eastAsia" w:ascii="宋体" w:hAnsi="宋体" w:eastAsia="宋体" w:cs="宋体"/>
                <w:i w:val="0"/>
                <w:color w:val="000000"/>
                <w:sz w:val="22"/>
                <w:szCs w:val="22"/>
                <w:u w:val="none"/>
              </w:rPr>
            </w:pPr>
          </w:p>
        </w:tc>
        <w:tc>
          <w:tcPr>
            <w:tcW w:w="1112" w:type="dxa"/>
            <w:shd w:val="clear" w:color="auto" w:fill="auto"/>
            <w:vAlign w:val="center"/>
          </w:tcPr>
          <w:p>
            <w:pPr>
              <w:rPr>
                <w:rFonts w:hint="eastAsia" w:ascii="宋体" w:hAnsi="宋体" w:eastAsia="宋体" w:cs="宋体"/>
                <w:i w:val="0"/>
                <w:color w:val="000000"/>
                <w:sz w:val="22"/>
                <w:szCs w:val="22"/>
                <w:u w:val="none"/>
              </w:rPr>
            </w:pPr>
          </w:p>
        </w:tc>
        <w:tc>
          <w:tcPr>
            <w:tcW w:w="1392" w:type="dxa"/>
            <w:shd w:val="clear" w:color="auto" w:fill="auto"/>
            <w:vAlign w:val="center"/>
          </w:tcPr>
          <w:p>
            <w:pPr>
              <w:rPr>
                <w:rFonts w:hint="eastAsia" w:ascii="宋体" w:hAnsi="宋体" w:eastAsia="宋体" w:cs="宋体"/>
                <w:i w:val="0"/>
                <w:color w:val="000000"/>
                <w:sz w:val="22"/>
                <w:szCs w:val="22"/>
                <w:u w:val="none"/>
              </w:rPr>
            </w:pPr>
          </w:p>
        </w:tc>
        <w:tc>
          <w:tcPr>
            <w:tcW w:w="1140" w:type="dxa"/>
            <w:shd w:val="clear" w:color="auto" w:fill="auto"/>
            <w:vAlign w:val="center"/>
          </w:tcPr>
          <w:p>
            <w:pPr>
              <w:rPr>
                <w:rFonts w:hint="eastAsia" w:ascii="宋体" w:hAnsi="宋体" w:eastAsia="宋体" w:cs="宋体"/>
                <w:i w:val="0"/>
                <w:color w:val="000000"/>
                <w:sz w:val="22"/>
                <w:szCs w:val="22"/>
                <w:u w:val="none"/>
              </w:rPr>
            </w:pPr>
          </w:p>
        </w:tc>
        <w:tc>
          <w:tcPr>
            <w:tcW w:w="3578"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ascii="font-weight : 400" w:hAnsi="font-weight : 400" w:eastAsia="font-weight : 400" w:cs="font-weight : 400"/>
                <w:i w:val="0"/>
                <w:color w:val="000000"/>
                <w:kern w:val="0"/>
                <w:sz w:val="22"/>
                <w:szCs w:val="22"/>
                <w:u w:val="none"/>
                <w:lang w:val="en-US" w:eastAsia="zh-CN" w:bidi="ar"/>
              </w:rPr>
              <w:t>2018年</w:t>
            </w:r>
            <w:r>
              <w:rPr>
                <w:rFonts w:hint="eastAsia" w:ascii="宋体" w:hAnsi="宋体" w:eastAsia="宋体" w:cs="宋体"/>
                <w:i w:val="0"/>
                <w:color w:val="000000"/>
                <w:kern w:val="0"/>
                <w:sz w:val="22"/>
                <w:szCs w:val="22"/>
                <w:u w:val="single"/>
                <w:lang w:val="en-US" w:eastAsia="zh-CN" w:bidi="ar"/>
              </w:rPr>
              <w:t xml:space="preserve">   </w:t>
            </w:r>
            <w:r>
              <w:rPr>
                <w:rFonts w:ascii="font-weight : 400" w:hAnsi="font-weight : 400" w:eastAsia="font-weight : 400" w:cs="font-weight : 400"/>
                <w:i w:val="0"/>
                <w:color w:val="000000"/>
                <w:kern w:val="0"/>
                <w:sz w:val="22"/>
                <w:szCs w:val="22"/>
                <w:u w:val="none"/>
                <w:lang w:val="en-US" w:eastAsia="zh-CN" w:bidi="ar"/>
              </w:rPr>
              <w:t>月</w:t>
            </w:r>
            <w:r>
              <w:rPr>
                <w:rFonts w:hint="eastAsia" w:ascii="宋体" w:hAnsi="宋体" w:eastAsia="宋体" w:cs="宋体"/>
                <w:i w:val="0"/>
                <w:color w:val="000000"/>
                <w:kern w:val="0"/>
                <w:sz w:val="22"/>
                <w:szCs w:val="22"/>
                <w:u w:val="single"/>
                <w:lang w:val="en-US" w:eastAsia="zh-CN" w:bidi="ar"/>
              </w:rPr>
              <w:t xml:space="preserve">   </w:t>
            </w:r>
            <w:r>
              <w:rPr>
                <w:rFonts w:ascii="font-weight : 400" w:hAnsi="font-weight : 400" w:eastAsia="font-weight : 400" w:cs="font-weight : 400"/>
                <w:i w:val="0"/>
                <w:color w:val="000000"/>
                <w:kern w:val="0"/>
                <w:sz w:val="22"/>
                <w:szCs w:val="22"/>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atLeast"/>
        </w:trPr>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承包项目</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承包人</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合同期限</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合同起止时间</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承包方式</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承包金额</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应缴（元）</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已缴（元）</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欠缴（元）</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exact"/>
        </w:trPr>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exact"/>
        </w:trPr>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exact"/>
        </w:trPr>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exact"/>
        </w:trPr>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exact"/>
        </w:trPr>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exact"/>
        </w:trPr>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exact"/>
        </w:trPr>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exact"/>
        </w:trPr>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exact"/>
        </w:trPr>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13780" w:type="dxa"/>
            <w:gridSpan w:val="11"/>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注：1、无合同的在备注写明；2、无合同或不合理合同可重新签订；3、承包方式为承包或租赁；4、承包金额为总承包费或每年多少元。5、台账后附承包合同复印件。</w:t>
            </w:r>
          </w:p>
        </w:tc>
      </w:tr>
    </w:tbl>
    <w:p>
      <w:pPr>
        <w:jc w:val="center"/>
        <w:rPr>
          <w:rFonts w:hint="eastAsia" w:asciiTheme="majorEastAsia" w:hAnsiTheme="majorEastAsia" w:eastAsiaTheme="majorEastAsia" w:cstheme="majorEastAsia"/>
          <w:b/>
          <w:bCs/>
          <w:color w:val="000000"/>
          <w:kern w:val="0"/>
          <w:sz w:val="44"/>
          <w:szCs w:val="44"/>
          <w:lang w:val="en-US" w:eastAsia="zh-CN"/>
        </w:rPr>
        <w:sectPr>
          <w:pgSz w:w="16838" w:h="11906" w:orient="landscape"/>
          <w:pgMar w:top="1701" w:right="1644" w:bottom="1644" w:left="1644" w:header="851" w:footer="992" w:gutter="0"/>
          <w:pgNumType w:fmt="decimal"/>
          <w:cols w:space="0" w:num="1"/>
          <w:rtlGutter w:val="0"/>
          <w:docGrid w:type="lines" w:linePitch="317" w:charSpace="0"/>
        </w:sectPr>
      </w:pPr>
    </w:p>
    <w:p>
      <w:pPr>
        <w:pStyle w:val="2"/>
        <w:jc w:val="center"/>
        <w:rPr>
          <w:rFonts w:hint="eastAsia" w:eastAsiaTheme="minorEastAsia"/>
          <w:sz w:val="44"/>
          <w:szCs w:val="44"/>
          <w:lang w:eastAsia="zh-CN"/>
        </w:rPr>
      </w:pPr>
      <w:r>
        <w:rPr>
          <w:sz w:val="44"/>
          <w:szCs w:val="44"/>
        </w:rPr>
        <w:t>农村土地承包合同</w:t>
      </w:r>
      <w:r>
        <w:rPr>
          <w:rFonts w:hint="eastAsia"/>
          <w:sz w:val="44"/>
          <w:szCs w:val="44"/>
          <w:lang w:eastAsia="zh-CN"/>
        </w:rPr>
        <w:t>（样式）</w:t>
      </w:r>
    </w:p>
    <w:p>
      <w:pPr>
        <w:pStyle w:val="6"/>
        <w:spacing w:before="0" w:beforeAutospacing="0" w:after="0" w:afterAutospacing="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合同编号：</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甲方(发包方)：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乙方(承包方)：               身份证号：</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住址：                       联系电话：</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为合理利用土地，提高土地效益，根据《农村土地承包法》等法律政策规定，甲方将土地承包给乙方经营，经双方协商一致，订立本合同。</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一、承包土地情况</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承包土地名称为     ，总面积  亩，四至界限为：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二、承包期限</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乙方承包期限为   年，自 年 月 日起至 年</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月 日止。甲方应于 年 月 日前将土地交付乙方。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三、承包价款、付款方式和时间</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各年度承包金按下列第 种方式计算，乙方应于当年 月</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日前以货币方式向甲方付清。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采取实物折值计算承包金。每亩地年承包金相当于 斤小麦(或玉米)的价值，年总承包金相当于 斤小麦(或玉米)。单位价格按交款年中级质量国家收购价格计算。</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采取浮动方式。第一年每亩地承包金 元，总承包金</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元。以后年度以第一年承包金为基数，每年上浮递增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四、土地用途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乙方承包土地限于从事种植业、林果业、畜牧业等农业用途。对土地进行改造和建长期建筑物，应征得甲方书面同意。</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五、甲方的权利义务</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1.监督乙方按照合同约定用途合理利用和保护土地。</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2.有权制止乙方损害承包地和农业资源的行为。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3.按照合同约定收取承包金。</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4.维护乙方的土地承包经营权，不得非法变更或解除合同。</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5.尊重乙方的生产经营自主权，不得干涉乙方依法进行正常的生产经营活动。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6.依照约定为乙方提供必要的服务。</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六、乙方的权利义务</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1.依照合同约定享有承包地使用和收益的权利，有权自主组织生产经营和依法处置产品。</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2.享有在剩余承包期内依法流转土地承包经营权的权利。</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3.维持土地的农业用途，不得用于非农建设</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4.依法保护和合理利用土地，不得弃耕抛荒土地，不得损坏农田水利设施，不得给土地造成永久性损害。</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5.按约定向发包方缴纳承包金。</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6.服从甲方对村内公共事务的管理和协调</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七、承包土地流转</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乙方经依法登记取得土地承包经营权证后，方可采取转让、出租、入股、抵押或者其他方式流转土地承包经营权。流转土地合同应报甲方备案。采取出租、入股、抵押方式流转的，乙方仍应履行本合同。实际经营土地者的权利义务，由乙方依据本合同另行约定。</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八、合同的变更和解除</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1.本合同签订后，任何一方不得单方面变更或解除本合同。</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2.不得因代表人变动而变更或者解除本合同。</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3.因不可抗力致使本合同无法履行时，可以变更或解除本合同，双方互不承担责任。</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九、违约责任</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1.承包期内，甲方违约收回乙方承包地，或者干预乙方正常的生产经营活动，使乙方遭受损失的，应承担赔偿责任。</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2.乙方未按规定用途使用承包地、改变农业用途，或者造成土地永久性损害、土地荒芜的，甲方劝阻无效可依法解除合同，并由乙方承担土地恢复费用。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3.乙方不按约定缴纳土地承包金，按月承担应缴资金 ‰的滞纳金;逾期   个月不缴纳的，甲方可解除合同收回承包地。</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4.任何一方如有其他违约行为，应向对方支付违约金</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元，给对方造成损失的，由违约方赔偿损失。</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5.国家法律、法规和政策对违约行为有处理规定的，从其规定。</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十、其它约定</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国家有关土地的补贴以及政策调整带来的土地直接收益归甲方享有;经依法批准的征收、占用承包地和规划调整占用承包地不属于违约，征地补偿归甲方享有，但给乙方造成损失的，甲方应在相关资金中给乙方相应补偿。</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2.本合同如发生纠纷由双方协商解决;协商不成时，可申请乡村相关机构调解解决;不愿调解或调解不成的，按下列第 项处理：⑴向农村土地承包纠纷仲裁机构申请仲裁;⑵向人民法院起诉。</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3.本合同自双方签字之日起生效。未尽事宜双方协商一致可订立补充协议，补充协议与本合同具有同等效力。</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4.本合同一式三份，双方各执一份，报乡镇农村土地承包管理机构备案一份。</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甲方(盖章)： 代表人(签名或盖章)：</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乙方(签字)：</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签约日期： 年 月 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val="en-US" w:eastAsia="zh-CN"/>
        </w:rPr>
        <w:sectPr>
          <w:pgSz w:w="11906" w:h="16838"/>
          <w:pgMar w:top="1644" w:right="1644" w:bottom="1644" w:left="1701" w:header="851" w:footer="992" w:gutter="0"/>
          <w:pgNumType w:fmt="decimal"/>
          <w:cols w:space="0" w:num="1"/>
          <w:rtlGutter w:val="0"/>
          <w:docGrid w:type="lines" w:linePitch="317" w:charSpace="0"/>
        </w:sectPr>
      </w:pPr>
    </w:p>
    <w:p>
      <w:pPr>
        <w:jc w:val="center"/>
        <w:rPr>
          <w:rFonts w:hint="eastAsia" w:asciiTheme="majorEastAsia" w:hAnsiTheme="majorEastAsia" w:eastAsiaTheme="majorEastAsia" w:cstheme="majorEastAsia"/>
          <w:b/>
          <w:bCs/>
          <w:color w:val="000000"/>
          <w:kern w:val="0"/>
          <w:sz w:val="44"/>
          <w:szCs w:val="44"/>
          <w:lang w:val="en-US" w:eastAsia="zh-CN"/>
        </w:rPr>
      </w:pPr>
      <w:r>
        <w:rPr>
          <w:rFonts w:hint="eastAsia" w:asciiTheme="majorEastAsia" w:hAnsiTheme="majorEastAsia" w:eastAsiaTheme="majorEastAsia" w:cstheme="majorEastAsia"/>
          <w:b/>
          <w:bCs/>
          <w:color w:val="000000"/>
          <w:kern w:val="0"/>
          <w:sz w:val="44"/>
          <w:szCs w:val="44"/>
          <w:lang w:val="en-US" w:eastAsia="zh-CN"/>
        </w:rPr>
        <w:t>农村集体资源性资产状况分布图（样式）</w:t>
      </w:r>
    </w:p>
    <w:p>
      <w:pPr>
        <w:jc w:val="center"/>
        <w:rPr>
          <w:rFonts w:hint="eastAsia" w:asciiTheme="majorEastAsia" w:hAnsiTheme="majorEastAsia" w:eastAsiaTheme="majorEastAsia" w:cstheme="majorEastAsia"/>
          <w:b/>
          <w:bCs/>
          <w:color w:val="000000"/>
          <w:kern w:val="0"/>
          <w:sz w:val="32"/>
          <w:szCs w:val="32"/>
          <w:lang w:val="en-US" w:eastAsia="zh-CN"/>
        </w:rPr>
      </w:pPr>
    </w:p>
    <w:p>
      <w:pPr>
        <w:jc w:val="left"/>
        <w:rPr>
          <w:rFonts w:hint="eastAsia" w:ascii="黑体" w:hAnsi="黑体" w:eastAsia="黑体" w:cs="黑体"/>
          <w:color w:val="000000"/>
          <w:kern w:val="0"/>
          <w:sz w:val="32"/>
          <w:szCs w:val="32"/>
          <w:lang w:val="en-US" w:eastAsia="zh-CN"/>
        </w:rPr>
        <w:sectPr>
          <w:pgSz w:w="16838" w:h="11906" w:orient="landscape"/>
          <w:pgMar w:top="1701" w:right="1644" w:bottom="1644" w:left="1644" w:header="851" w:footer="992" w:gutter="0"/>
          <w:pgNumType w:fmt="decimal"/>
          <w:cols w:space="0" w:num="1"/>
          <w:rtlGutter w:val="0"/>
          <w:docGrid w:type="lines" w:linePitch="317" w:charSpace="0"/>
        </w:sectPr>
      </w:pPr>
      <w:r>
        <w:rPr>
          <w:rFonts w:hint="eastAsia" w:ascii="黑体" w:hAnsi="黑体" w:eastAsia="黑体" w:cs="黑体"/>
          <w:color w:val="000000"/>
          <w:kern w:val="0"/>
          <w:sz w:val="32"/>
          <w:szCs w:val="32"/>
          <w:lang w:val="en-US" w:eastAsia="zh-CN"/>
        </w:rPr>
        <w:drawing>
          <wp:inline distT="0" distB="0" distL="114300" distR="114300">
            <wp:extent cx="8512175" cy="4436745"/>
            <wp:effectExtent l="0" t="0" r="3175" b="1905"/>
            <wp:docPr id="1" name="图片 1" descr="资源分布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资源分布图"/>
                    <pic:cNvPicPr>
                      <a:picLocks noChangeAspect="1"/>
                    </pic:cNvPicPr>
                  </pic:nvPicPr>
                  <pic:blipFill>
                    <a:blip r:embed="rId9"/>
                    <a:stretch>
                      <a:fillRect/>
                    </a:stretch>
                  </pic:blipFill>
                  <pic:spPr>
                    <a:xfrm>
                      <a:off x="0" y="0"/>
                      <a:ext cx="8512175" cy="4436745"/>
                    </a:xfrm>
                    <a:prstGeom prst="rect">
                      <a:avLst/>
                    </a:prstGeom>
                  </pic:spPr>
                </pic:pic>
              </a:graphicData>
            </a:graphic>
          </wp:inline>
        </w:drawing>
      </w:r>
    </w:p>
    <w:tbl>
      <w:tblPr>
        <w:tblStyle w:val="9"/>
        <w:tblW w:w="86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77"/>
        <w:gridCol w:w="480"/>
        <w:gridCol w:w="780"/>
        <w:gridCol w:w="810"/>
        <w:gridCol w:w="2160"/>
        <w:gridCol w:w="540"/>
        <w:gridCol w:w="915"/>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8632" w:type="dxa"/>
            <w:gridSpan w:val="8"/>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资产负债汇总表（组织类）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2077" w:type="dxa"/>
            <w:shd w:val="clear" w:color="auto" w:fill="auto"/>
            <w:vAlign w:val="center"/>
          </w:tcPr>
          <w:p>
            <w:pPr>
              <w:jc w:val="center"/>
              <w:rPr>
                <w:rFonts w:hint="eastAsia" w:ascii="黑体" w:hAnsi="宋体" w:eastAsia="黑体" w:cs="黑体"/>
                <w:i w:val="0"/>
                <w:color w:val="000000"/>
                <w:sz w:val="36"/>
                <w:szCs w:val="36"/>
                <w:u w:val="none"/>
              </w:rPr>
            </w:pPr>
          </w:p>
        </w:tc>
        <w:tc>
          <w:tcPr>
            <w:tcW w:w="480" w:type="dxa"/>
            <w:shd w:val="clear" w:color="auto" w:fill="auto"/>
            <w:vAlign w:val="center"/>
          </w:tcPr>
          <w:p>
            <w:pPr>
              <w:jc w:val="center"/>
              <w:rPr>
                <w:rFonts w:hint="eastAsia" w:ascii="黑体" w:hAnsi="宋体" w:eastAsia="黑体" w:cs="黑体"/>
                <w:i w:val="0"/>
                <w:color w:val="000000"/>
                <w:sz w:val="36"/>
                <w:szCs w:val="36"/>
                <w:u w:val="none"/>
              </w:rPr>
            </w:pPr>
          </w:p>
        </w:tc>
        <w:tc>
          <w:tcPr>
            <w:tcW w:w="3750"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4"/>
                <w:szCs w:val="24"/>
                <w:u w:val="none"/>
                <w:lang w:val="en-US" w:eastAsia="zh-CN" w:bidi="ar"/>
              </w:rPr>
              <w:t>（乡镇级、村级、组级）</w:t>
            </w:r>
          </w:p>
        </w:tc>
        <w:tc>
          <w:tcPr>
            <w:tcW w:w="540" w:type="dxa"/>
            <w:shd w:val="clear" w:color="auto" w:fill="auto"/>
            <w:vAlign w:val="center"/>
          </w:tcPr>
          <w:p>
            <w:pPr>
              <w:jc w:val="center"/>
              <w:rPr>
                <w:rFonts w:hint="eastAsia" w:ascii="黑体" w:hAnsi="宋体" w:eastAsia="黑体" w:cs="黑体"/>
                <w:i w:val="0"/>
                <w:color w:val="000000"/>
                <w:sz w:val="36"/>
                <w:szCs w:val="36"/>
                <w:u w:val="none"/>
              </w:rPr>
            </w:pPr>
          </w:p>
        </w:tc>
        <w:tc>
          <w:tcPr>
            <w:tcW w:w="915" w:type="dxa"/>
            <w:shd w:val="clear" w:color="auto" w:fill="auto"/>
            <w:vAlign w:val="center"/>
          </w:tcPr>
          <w:p>
            <w:pPr>
              <w:jc w:val="center"/>
              <w:rPr>
                <w:rFonts w:hint="eastAsia" w:ascii="黑体" w:hAnsi="宋体" w:eastAsia="黑体" w:cs="黑体"/>
                <w:i w:val="0"/>
                <w:color w:val="000000"/>
                <w:sz w:val="36"/>
                <w:szCs w:val="36"/>
                <w:u w:val="none"/>
              </w:rPr>
            </w:pPr>
          </w:p>
        </w:tc>
        <w:tc>
          <w:tcPr>
            <w:tcW w:w="870" w:type="dxa"/>
            <w:shd w:val="clear" w:color="auto" w:fill="auto"/>
            <w:vAlign w:val="center"/>
          </w:tcPr>
          <w:p>
            <w:pPr>
              <w:jc w:val="center"/>
              <w:rPr>
                <w:rFonts w:hint="eastAsia" w:ascii="黑体" w:hAnsi="宋体" w:eastAsia="黑体" w:cs="黑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atLeast"/>
        </w:trPr>
        <w:tc>
          <w:tcPr>
            <w:tcW w:w="2077" w:type="dxa"/>
            <w:shd w:val="clear" w:color="auto" w:fill="auto"/>
            <w:vAlign w:val="center"/>
          </w:tcPr>
          <w:p>
            <w:pPr>
              <w:rPr>
                <w:rFonts w:hint="eastAsia" w:ascii="宋体" w:hAnsi="宋体" w:eastAsia="宋体" w:cs="宋体"/>
                <w:b/>
                <w:i w:val="0"/>
                <w:color w:val="000000"/>
                <w:sz w:val="24"/>
                <w:szCs w:val="24"/>
                <w:u w:val="none"/>
              </w:rPr>
            </w:pPr>
          </w:p>
        </w:tc>
        <w:tc>
          <w:tcPr>
            <w:tcW w:w="480" w:type="dxa"/>
            <w:shd w:val="clear" w:color="auto" w:fill="auto"/>
            <w:vAlign w:val="center"/>
          </w:tcPr>
          <w:p>
            <w:pPr>
              <w:jc w:val="center"/>
              <w:rPr>
                <w:rFonts w:hint="eastAsia" w:ascii="宋体" w:hAnsi="宋体" w:eastAsia="宋体" w:cs="宋体"/>
                <w:i w:val="0"/>
                <w:color w:val="000000"/>
                <w:sz w:val="24"/>
                <w:szCs w:val="24"/>
                <w:u w:val="none"/>
              </w:rPr>
            </w:pPr>
          </w:p>
        </w:tc>
        <w:tc>
          <w:tcPr>
            <w:tcW w:w="780" w:type="dxa"/>
            <w:shd w:val="clear" w:color="auto" w:fill="auto"/>
            <w:vAlign w:val="center"/>
          </w:tcPr>
          <w:p>
            <w:pPr>
              <w:jc w:val="center"/>
              <w:rPr>
                <w:rFonts w:hint="eastAsia" w:ascii="宋体" w:hAnsi="宋体" w:eastAsia="宋体" w:cs="宋体"/>
                <w:i w:val="0"/>
                <w:color w:val="000000"/>
                <w:sz w:val="24"/>
                <w:szCs w:val="24"/>
                <w:u w:val="none"/>
              </w:rPr>
            </w:pPr>
          </w:p>
        </w:tc>
        <w:tc>
          <w:tcPr>
            <w:tcW w:w="810" w:type="dxa"/>
            <w:shd w:val="clear" w:color="auto" w:fill="auto"/>
            <w:vAlign w:val="center"/>
          </w:tcPr>
          <w:p>
            <w:pPr>
              <w:jc w:val="center"/>
              <w:rPr>
                <w:rFonts w:hint="eastAsia" w:ascii="宋体" w:hAnsi="宋体" w:eastAsia="宋体" w:cs="宋体"/>
                <w:i w:val="0"/>
                <w:color w:val="000000"/>
                <w:sz w:val="24"/>
                <w:szCs w:val="24"/>
                <w:u w:val="none"/>
              </w:rPr>
            </w:pPr>
          </w:p>
        </w:tc>
        <w:tc>
          <w:tcPr>
            <w:tcW w:w="2160" w:type="dxa"/>
            <w:shd w:val="clear" w:color="auto" w:fill="auto"/>
            <w:vAlign w:val="center"/>
          </w:tcPr>
          <w:p>
            <w:pPr>
              <w:rPr>
                <w:rFonts w:hint="eastAsia" w:ascii="宋体" w:hAnsi="宋体" w:eastAsia="宋体" w:cs="宋体"/>
                <w:i w:val="0"/>
                <w:color w:val="000000"/>
                <w:sz w:val="24"/>
                <w:szCs w:val="24"/>
                <w:u w:val="none"/>
              </w:rPr>
            </w:pPr>
          </w:p>
        </w:tc>
        <w:tc>
          <w:tcPr>
            <w:tcW w:w="2325"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农清汇总01-1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 w:hRule="atLeast"/>
        </w:trPr>
        <w:tc>
          <w:tcPr>
            <w:tcW w:w="8632" w:type="dxa"/>
            <w:gridSpan w:val="8"/>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填报单位：</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201</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年___月</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日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8" w:hRule="atLeast"/>
        </w:trPr>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资产</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行</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账面数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核实数</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负责及所有者权益</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 xml:space="preserve">行  </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次</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账面数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核实数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2" w:hRule="atLeast"/>
        </w:trPr>
        <w:tc>
          <w:tcPr>
            <w:tcW w:w="207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一、流动资产合计</w:t>
            </w:r>
          </w:p>
        </w:tc>
        <w:tc>
          <w:tcPr>
            <w:tcW w:w="4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w:t>
            </w:r>
          </w:p>
        </w:tc>
        <w:tc>
          <w:tcPr>
            <w:tcW w:w="78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一、流动负债合计</w:t>
            </w:r>
          </w:p>
        </w:tc>
        <w:tc>
          <w:tcPr>
            <w:tcW w:w="54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25</w:t>
            </w:r>
          </w:p>
        </w:tc>
        <w:tc>
          <w:tcPr>
            <w:tcW w:w="91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4" w:hRule="atLeast"/>
        </w:trPr>
        <w:tc>
          <w:tcPr>
            <w:tcW w:w="2077"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货币资金</w:t>
            </w:r>
          </w:p>
        </w:tc>
        <w:tc>
          <w:tcPr>
            <w:tcW w:w="48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w:t>
            </w:r>
          </w:p>
        </w:tc>
        <w:tc>
          <w:tcPr>
            <w:tcW w:w="78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短期借款</w:t>
            </w:r>
          </w:p>
        </w:tc>
        <w:tc>
          <w:tcPr>
            <w:tcW w:w="54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26</w:t>
            </w: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trPr>
        <w:tc>
          <w:tcPr>
            <w:tcW w:w="2077"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短期投资</w:t>
            </w:r>
          </w:p>
        </w:tc>
        <w:tc>
          <w:tcPr>
            <w:tcW w:w="48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w:t>
            </w:r>
          </w:p>
        </w:tc>
        <w:tc>
          <w:tcPr>
            <w:tcW w:w="78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应付款项</w:t>
            </w:r>
          </w:p>
        </w:tc>
        <w:tc>
          <w:tcPr>
            <w:tcW w:w="54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27</w:t>
            </w: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trPr>
        <w:tc>
          <w:tcPr>
            <w:tcW w:w="2077"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应收款项</w:t>
            </w:r>
          </w:p>
        </w:tc>
        <w:tc>
          <w:tcPr>
            <w:tcW w:w="48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4</w:t>
            </w:r>
          </w:p>
        </w:tc>
        <w:tc>
          <w:tcPr>
            <w:tcW w:w="78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应付工资</w:t>
            </w:r>
          </w:p>
        </w:tc>
        <w:tc>
          <w:tcPr>
            <w:tcW w:w="54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28</w:t>
            </w: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2077"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存货</w:t>
            </w:r>
          </w:p>
        </w:tc>
        <w:tc>
          <w:tcPr>
            <w:tcW w:w="48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5</w:t>
            </w:r>
          </w:p>
        </w:tc>
        <w:tc>
          <w:tcPr>
            <w:tcW w:w="78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应付福利费</w:t>
            </w:r>
          </w:p>
        </w:tc>
        <w:tc>
          <w:tcPr>
            <w:tcW w:w="54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29</w:t>
            </w: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4" w:hRule="atLeast"/>
        </w:trPr>
        <w:tc>
          <w:tcPr>
            <w:tcW w:w="2077"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w:t>
            </w:r>
            <w:r>
              <w:rPr>
                <w:rStyle w:val="28"/>
                <w:rFonts w:eastAsia="宋体"/>
                <w:lang w:val="en-US" w:eastAsia="zh-CN" w:bidi="ar"/>
              </w:rPr>
              <w:t xml:space="preserve"> </w:t>
            </w:r>
            <w:r>
              <w:rPr>
                <w:rStyle w:val="29"/>
                <w:lang w:val="en-US" w:eastAsia="zh-CN" w:bidi="ar"/>
              </w:rPr>
              <w:t>农业资产合计</w:t>
            </w:r>
          </w:p>
        </w:tc>
        <w:tc>
          <w:tcPr>
            <w:tcW w:w="48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6</w:t>
            </w:r>
          </w:p>
        </w:tc>
        <w:tc>
          <w:tcPr>
            <w:tcW w:w="78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二、长期负债合计</w:t>
            </w:r>
          </w:p>
        </w:tc>
        <w:tc>
          <w:tcPr>
            <w:tcW w:w="540"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30</w:t>
            </w: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atLeast"/>
        </w:trPr>
        <w:tc>
          <w:tcPr>
            <w:tcW w:w="2077"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牲畜（禽）资产</w:t>
            </w:r>
          </w:p>
        </w:tc>
        <w:tc>
          <w:tcPr>
            <w:tcW w:w="48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7</w:t>
            </w:r>
          </w:p>
        </w:tc>
        <w:tc>
          <w:tcPr>
            <w:tcW w:w="78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长期借款及应付款</w:t>
            </w:r>
          </w:p>
        </w:tc>
        <w:tc>
          <w:tcPr>
            <w:tcW w:w="54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31</w:t>
            </w: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trPr>
        <w:tc>
          <w:tcPr>
            <w:tcW w:w="2077"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林木资产</w:t>
            </w:r>
          </w:p>
        </w:tc>
        <w:tc>
          <w:tcPr>
            <w:tcW w:w="48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8</w:t>
            </w:r>
          </w:p>
        </w:tc>
        <w:tc>
          <w:tcPr>
            <w:tcW w:w="78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一事一议资金</w:t>
            </w:r>
          </w:p>
        </w:tc>
        <w:tc>
          <w:tcPr>
            <w:tcW w:w="540"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32</w:t>
            </w: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4" w:hRule="atLeast"/>
        </w:trPr>
        <w:tc>
          <w:tcPr>
            <w:tcW w:w="2077" w:type="dxa"/>
            <w:tcBorders>
              <w:left w:val="single" w:color="000000" w:sz="4" w:space="0"/>
              <w:right w:val="single" w:color="000000" w:sz="4" w:space="0"/>
            </w:tcBorders>
            <w:shd w:val="clear" w:color="auto" w:fill="auto"/>
            <w:vAlign w:val="center"/>
          </w:tcPr>
          <w:p>
            <w:pPr>
              <w:jc w:val="left"/>
              <w:rPr>
                <w:rFonts w:hint="default" w:ascii="Calibri" w:hAnsi="Calibri" w:eastAsia="宋体" w:cs="Calibri"/>
                <w:i w:val="0"/>
                <w:color w:val="000000"/>
                <w:sz w:val="20"/>
                <w:szCs w:val="20"/>
                <w:u w:val="none"/>
              </w:rPr>
            </w:pPr>
          </w:p>
        </w:tc>
        <w:tc>
          <w:tcPr>
            <w:tcW w:w="48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9</w:t>
            </w:r>
          </w:p>
        </w:tc>
        <w:tc>
          <w:tcPr>
            <w:tcW w:w="78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专项应付款</w:t>
            </w:r>
          </w:p>
        </w:tc>
        <w:tc>
          <w:tcPr>
            <w:tcW w:w="54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33</w:t>
            </w: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atLeast"/>
        </w:trPr>
        <w:tc>
          <w:tcPr>
            <w:tcW w:w="2077" w:type="dxa"/>
            <w:tcBorders>
              <w:lef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三、长期资产合计</w:t>
            </w:r>
          </w:p>
        </w:tc>
        <w:tc>
          <w:tcPr>
            <w:tcW w:w="48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10</w:t>
            </w:r>
          </w:p>
        </w:tc>
        <w:tc>
          <w:tcPr>
            <w:tcW w:w="780" w:type="dxa"/>
            <w:tcBorders>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其中：征地补偿款</w:t>
            </w:r>
          </w:p>
        </w:tc>
        <w:tc>
          <w:tcPr>
            <w:tcW w:w="540"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34</w:t>
            </w: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4" w:hRule="atLeast"/>
        </w:trPr>
        <w:tc>
          <w:tcPr>
            <w:tcW w:w="2077" w:type="dxa"/>
            <w:tcBorders>
              <w:lef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长期投资</w:t>
            </w:r>
          </w:p>
        </w:tc>
        <w:tc>
          <w:tcPr>
            <w:tcW w:w="48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11</w:t>
            </w:r>
          </w:p>
        </w:tc>
        <w:tc>
          <w:tcPr>
            <w:tcW w:w="780" w:type="dxa"/>
            <w:tcBorders>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left w:val="single" w:color="000000" w:sz="4" w:space="0"/>
              <w:right w:val="single" w:color="000000" w:sz="4" w:space="0"/>
            </w:tcBorders>
            <w:shd w:val="clear" w:color="auto" w:fill="auto"/>
            <w:vAlign w:val="center"/>
          </w:tcPr>
          <w:p>
            <w:pPr>
              <w:jc w:val="both"/>
              <w:rPr>
                <w:rFonts w:hint="default" w:ascii="Calibri" w:hAnsi="Calibri" w:eastAsia="宋体" w:cs="Calibri"/>
                <w:i w:val="0"/>
                <w:color w:val="000000"/>
                <w:sz w:val="20"/>
                <w:szCs w:val="20"/>
                <w:u w:val="none"/>
              </w:rPr>
            </w:pPr>
          </w:p>
        </w:tc>
        <w:tc>
          <w:tcPr>
            <w:tcW w:w="54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35</w:t>
            </w: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trPr>
        <w:tc>
          <w:tcPr>
            <w:tcW w:w="2077" w:type="dxa"/>
            <w:tcBorders>
              <w:lef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其中：长期股权投资</w:t>
            </w:r>
          </w:p>
        </w:tc>
        <w:tc>
          <w:tcPr>
            <w:tcW w:w="48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12</w:t>
            </w:r>
          </w:p>
        </w:tc>
        <w:tc>
          <w:tcPr>
            <w:tcW w:w="780" w:type="dxa"/>
            <w:tcBorders>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三、所有者权益合计</w:t>
            </w:r>
          </w:p>
        </w:tc>
        <w:tc>
          <w:tcPr>
            <w:tcW w:w="540"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36</w:t>
            </w: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4" w:hRule="atLeast"/>
        </w:trPr>
        <w:tc>
          <w:tcPr>
            <w:tcW w:w="2077"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四、固定资产合计</w:t>
            </w:r>
          </w:p>
        </w:tc>
        <w:tc>
          <w:tcPr>
            <w:tcW w:w="48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13</w:t>
            </w:r>
          </w:p>
        </w:tc>
        <w:tc>
          <w:tcPr>
            <w:tcW w:w="78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lef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资本</w:t>
            </w:r>
          </w:p>
        </w:tc>
        <w:tc>
          <w:tcPr>
            <w:tcW w:w="54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37</w:t>
            </w: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2077"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固定资产原值</w:t>
            </w:r>
          </w:p>
        </w:tc>
        <w:tc>
          <w:tcPr>
            <w:tcW w:w="480"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14</w:t>
            </w:r>
          </w:p>
        </w:tc>
        <w:tc>
          <w:tcPr>
            <w:tcW w:w="78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其中：政府拨款等形成</w:t>
            </w:r>
          </w:p>
        </w:tc>
        <w:tc>
          <w:tcPr>
            <w:tcW w:w="540"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38</w:t>
            </w: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5" w:hRule="atLeast"/>
        </w:trPr>
        <w:tc>
          <w:tcPr>
            <w:tcW w:w="2077" w:type="dxa"/>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480" w:type="dxa"/>
            <w:vMerge w:val="continue"/>
            <w:tcBorders>
              <w:left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4"/>
                <w:szCs w:val="24"/>
                <w:u w:val="none"/>
              </w:rPr>
            </w:pPr>
          </w:p>
        </w:tc>
        <w:tc>
          <w:tcPr>
            <w:tcW w:w="78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资产转增资本</w:t>
            </w:r>
          </w:p>
        </w:tc>
        <w:tc>
          <w:tcPr>
            <w:tcW w:w="540" w:type="dxa"/>
            <w:vMerge w:val="continue"/>
            <w:tcBorders>
              <w:left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4"/>
                <w:szCs w:val="24"/>
                <w:u w:val="none"/>
              </w:rPr>
            </w:pP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4" w:hRule="atLeast"/>
        </w:trPr>
        <w:tc>
          <w:tcPr>
            <w:tcW w:w="2077"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减：累计折旧</w:t>
            </w:r>
          </w:p>
        </w:tc>
        <w:tc>
          <w:tcPr>
            <w:tcW w:w="48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15</w:t>
            </w:r>
          </w:p>
        </w:tc>
        <w:tc>
          <w:tcPr>
            <w:tcW w:w="78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公积公益金 </w:t>
            </w:r>
          </w:p>
        </w:tc>
        <w:tc>
          <w:tcPr>
            <w:tcW w:w="54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39</w:t>
            </w: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atLeast"/>
        </w:trPr>
        <w:tc>
          <w:tcPr>
            <w:tcW w:w="2077"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固定资产净值</w:t>
            </w:r>
          </w:p>
        </w:tc>
        <w:tc>
          <w:tcPr>
            <w:tcW w:w="48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16</w:t>
            </w:r>
          </w:p>
        </w:tc>
        <w:tc>
          <w:tcPr>
            <w:tcW w:w="78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w:t>
            </w:r>
            <w:r>
              <w:rPr>
                <w:rFonts w:hint="default" w:ascii="Calibri" w:hAnsi="Calibri" w:eastAsia="宋体" w:cs="Calibri"/>
                <w:i w:val="0"/>
                <w:color w:val="000000"/>
                <w:kern w:val="0"/>
                <w:sz w:val="20"/>
                <w:szCs w:val="20"/>
                <w:u w:val="none"/>
                <w:lang w:val="en-US" w:eastAsia="zh-CN" w:bidi="ar"/>
              </w:rPr>
              <w:t xml:space="preserve">: </w:t>
            </w:r>
            <w:r>
              <w:rPr>
                <w:rStyle w:val="30"/>
                <w:lang w:val="en-US" w:eastAsia="zh-CN" w:bidi="ar"/>
              </w:rPr>
              <w:t>征地补偿费转入</w:t>
            </w:r>
          </w:p>
        </w:tc>
        <w:tc>
          <w:tcPr>
            <w:tcW w:w="54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40</w:t>
            </w: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atLeast"/>
        </w:trPr>
        <w:tc>
          <w:tcPr>
            <w:tcW w:w="2077"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其中：经营性固定资产 </w:t>
            </w:r>
          </w:p>
        </w:tc>
        <w:tc>
          <w:tcPr>
            <w:tcW w:w="48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17</w:t>
            </w:r>
          </w:p>
        </w:tc>
        <w:tc>
          <w:tcPr>
            <w:tcW w:w="78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未分配收益</w:t>
            </w:r>
          </w:p>
        </w:tc>
        <w:tc>
          <w:tcPr>
            <w:tcW w:w="54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41</w:t>
            </w: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2077"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固定资产清理</w:t>
            </w:r>
          </w:p>
        </w:tc>
        <w:tc>
          <w:tcPr>
            <w:tcW w:w="48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18</w:t>
            </w:r>
          </w:p>
        </w:tc>
        <w:tc>
          <w:tcPr>
            <w:tcW w:w="78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负债和所有者权益合计</w:t>
            </w:r>
          </w:p>
        </w:tc>
        <w:tc>
          <w:tcPr>
            <w:tcW w:w="54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42</w:t>
            </w: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4" w:hRule="atLeast"/>
        </w:trPr>
        <w:tc>
          <w:tcPr>
            <w:tcW w:w="2077"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在建工程</w:t>
            </w:r>
          </w:p>
        </w:tc>
        <w:tc>
          <w:tcPr>
            <w:tcW w:w="48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19</w:t>
            </w:r>
          </w:p>
        </w:tc>
        <w:tc>
          <w:tcPr>
            <w:tcW w:w="78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附表：</w:t>
            </w:r>
          </w:p>
        </w:tc>
        <w:tc>
          <w:tcPr>
            <w:tcW w:w="54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43</w:t>
            </w: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2077"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其中：经营性在建工程</w:t>
            </w:r>
          </w:p>
        </w:tc>
        <w:tc>
          <w:tcPr>
            <w:tcW w:w="48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20</w:t>
            </w:r>
          </w:p>
        </w:tc>
        <w:tc>
          <w:tcPr>
            <w:tcW w:w="78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1.经营性资产</w:t>
            </w:r>
          </w:p>
        </w:tc>
        <w:tc>
          <w:tcPr>
            <w:tcW w:w="54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44</w:t>
            </w: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4" w:hRule="atLeast"/>
        </w:trPr>
        <w:tc>
          <w:tcPr>
            <w:tcW w:w="2077"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五、其他资产</w:t>
            </w:r>
          </w:p>
        </w:tc>
        <w:tc>
          <w:tcPr>
            <w:tcW w:w="48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21</w:t>
            </w:r>
          </w:p>
        </w:tc>
        <w:tc>
          <w:tcPr>
            <w:tcW w:w="78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2.非经营性资产</w:t>
            </w:r>
          </w:p>
        </w:tc>
        <w:tc>
          <w:tcPr>
            <w:tcW w:w="54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45</w:t>
            </w: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4" w:hRule="atLeast"/>
        </w:trPr>
        <w:tc>
          <w:tcPr>
            <w:tcW w:w="2077"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其中：无形资产</w:t>
            </w:r>
          </w:p>
        </w:tc>
        <w:tc>
          <w:tcPr>
            <w:tcW w:w="48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22</w:t>
            </w:r>
          </w:p>
        </w:tc>
        <w:tc>
          <w:tcPr>
            <w:tcW w:w="78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 xml:space="preserve">  3.</w:t>
            </w:r>
            <w:r>
              <w:rPr>
                <w:rFonts w:hint="eastAsia" w:ascii="宋体" w:hAnsi="宋体" w:eastAsia="宋体" w:cs="宋体"/>
                <w:i w:val="0"/>
                <w:color w:val="000000"/>
                <w:kern w:val="0"/>
                <w:sz w:val="20"/>
                <w:szCs w:val="20"/>
                <w:u w:val="none"/>
                <w:lang w:val="en-US" w:eastAsia="zh-CN" w:bidi="ar"/>
              </w:rPr>
              <w:t>待界定资产</w:t>
            </w:r>
          </w:p>
        </w:tc>
        <w:tc>
          <w:tcPr>
            <w:tcW w:w="54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46</w:t>
            </w: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5" w:hRule="atLeast"/>
        </w:trPr>
        <w:tc>
          <w:tcPr>
            <w:tcW w:w="2077"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资产总计</w:t>
            </w:r>
            <w:r>
              <w:rPr>
                <w:rFonts w:hint="default" w:ascii="Calibri" w:hAnsi="Calibri" w:eastAsia="宋体" w:cs="Calibri"/>
                <w:i w:val="0"/>
                <w:color w:val="000000"/>
                <w:kern w:val="0"/>
                <w:sz w:val="20"/>
                <w:szCs w:val="20"/>
                <w:u w:val="none"/>
                <w:lang w:val="en-US" w:eastAsia="zh-CN" w:bidi="ar"/>
              </w:rPr>
              <w:t xml:space="preserve">  </w:t>
            </w:r>
          </w:p>
        </w:tc>
        <w:tc>
          <w:tcPr>
            <w:tcW w:w="48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23</w:t>
            </w:r>
          </w:p>
        </w:tc>
        <w:tc>
          <w:tcPr>
            <w:tcW w:w="78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6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Style w:val="31"/>
                <w:lang w:val="en-US" w:eastAsia="zh-CN" w:bidi="ar"/>
              </w:rPr>
              <w:t>4.全资子公司所有者权益</w:t>
            </w:r>
          </w:p>
        </w:tc>
        <w:tc>
          <w:tcPr>
            <w:tcW w:w="540"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47</w:t>
            </w:r>
          </w:p>
        </w:tc>
        <w:tc>
          <w:tcPr>
            <w:tcW w:w="91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414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 xml:space="preserve">填表人： </w:t>
            </w:r>
          </w:p>
        </w:tc>
        <w:tc>
          <w:tcPr>
            <w:tcW w:w="448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填报单位（签章）：</w:t>
            </w:r>
          </w:p>
        </w:tc>
      </w:tr>
    </w:tbl>
    <w:p>
      <w:pPr>
        <w:jc w:val="left"/>
        <w:rPr>
          <w:rFonts w:hint="eastAsia" w:ascii="黑体" w:hAnsi="黑体" w:eastAsia="黑体" w:cs="黑体"/>
          <w:color w:val="000000"/>
          <w:kern w:val="0"/>
          <w:sz w:val="32"/>
          <w:szCs w:val="32"/>
          <w:lang w:val="en-US" w:eastAsia="zh-CN"/>
        </w:rPr>
      </w:pPr>
    </w:p>
    <w:tbl>
      <w:tblPr>
        <w:tblStyle w:val="9"/>
        <w:tblW w:w="86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32"/>
        <w:gridCol w:w="92"/>
        <w:gridCol w:w="525"/>
        <w:gridCol w:w="28"/>
        <w:gridCol w:w="705"/>
        <w:gridCol w:w="135"/>
        <w:gridCol w:w="615"/>
        <w:gridCol w:w="285"/>
        <w:gridCol w:w="1950"/>
        <w:gridCol w:w="195"/>
        <w:gridCol w:w="465"/>
        <w:gridCol w:w="795"/>
        <w:gridCol w:w="435"/>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7" w:hRule="atLeast"/>
        </w:trPr>
        <w:tc>
          <w:tcPr>
            <w:tcW w:w="8692" w:type="dxa"/>
            <w:gridSpan w:val="14"/>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资产负债汇总表（全资企业类）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8" w:hRule="atLeast"/>
        </w:trPr>
        <w:tc>
          <w:tcPr>
            <w:tcW w:w="2032" w:type="dxa"/>
            <w:shd w:val="clear" w:color="auto" w:fill="auto"/>
            <w:vAlign w:val="center"/>
          </w:tcPr>
          <w:p>
            <w:pPr>
              <w:jc w:val="center"/>
              <w:rPr>
                <w:rFonts w:hint="eastAsia" w:ascii="黑体" w:hAnsi="宋体" w:eastAsia="黑体" w:cs="黑体"/>
                <w:i w:val="0"/>
                <w:color w:val="000000"/>
                <w:sz w:val="36"/>
                <w:szCs w:val="36"/>
                <w:u w:val="none"/>
              </w:rPr>
            </w:pPr>
          </w:p>
        </w:tc>
        <w:tc>
          <w:tcPr>
            <w:tcW w:w="617" w:type="dxa"/>
            <w:gridSpan w:val="2"/>
            <w:shd w:val="clear" w:color="auto" w:fill="auto"/>
            <w:vAlign w:val="center"/>
          </w:tcPr>
          <w:p>
            <w:pPr>
              <w:jc w:val="center"/>
              <w:rPr>
                <w:rFonts w:hint="eastAsia" w:ascii="黑体" w:hAnsi="宋体" w:eastAsia="黑体" w:cs="黑体"/>
                <w:i w:val="0"/>
                <w:color w:val="000000"/>
                <w:sz w:val="36"/>
                <w:szCs w:val="36"/>
                <w:u w:val="none"/>
              </w:rPr>
            </w:pPr>
          </w:p>
        </w:tc>
        <w:tc>
          <w:tcPr>
            <w:tcW w:w="3718"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（乡镇级、村级、组级）</w:t>
            </w:r>
          </w:p>
        </w:tc>
        <w:tc>
          <w:tcPr>
            <w:tcW w:w="660" w:type="dxa"/>
            <w:gridSpan w:val="2"/>
            <w:shd w:val="clear" w:color="auto" w:fill="auto"/>
            <w:vAlign w:val="center"/>
          </w:tcPr>
          <w:p>
            <w:pPr>
              <w:jc w:val="center"/>
              <w:rPr>
                <w:rFonts w:hint="eastAsia" w:ascii="黑体" w:hAnsi="宋体" w:eastAsia="黑体" w:cs="黑体"/>
                <w:i w:val="0"/>
                <w:color w:val="000000"/>
                <w:sz w:val="36"/>
                <w:szCs w:val="36"/>
                <w:u w:val="none"/>
              </w:rPr>
            </w:pPr>
          </w:p>
        </w:tc>
        <w:tc>
          <w:tcPr>
            <w:tcW w:w="795" w:type="dxa"/>
            <w:shd w:val="clear" w:color="auto" w:fill="auto"/>
            <w:vAlign w:val="center"/>
          </w:tcPr>
          <w:p>
            <w:pPr>
              <w:jc w:val="center"/>
              <w:rPr>
                <w:rFonts w:hint="eastAsia" w:ascii="黑体" w:hAnsi="宋体" w:eastAsia="黑体" w:cs="黑体"/>
                <w:i w:val="0"/>
                <w:color w:val="000000"/>
                <w:sz w:val="36"/>
                <w:szCs w:val="36"/>
                <w:u w:val="none"/>
              </w:rPr>
            </w:pPr>
          </w:p>
        </w:tc>
        <w:tc>
          <w:tcPr>
            <w:tcW w:w="870" w:type="dxa"/>
            <w:gridSpan w:val="2"/>
            <w:shd w:val="clear" w:color="auto" w:fill="auto"/>
            <w:vAlign w:val="center"/>
          </w:tcPr>
          <w:p>
            <w:pPr>
              <w:jc w:val="center"/>
              <w:rPr>
                <w:rFonts w:hint="eastAsia" w:ascii="黑体" w:hAnsi="宋体" w:eastAsia="黑体" w:cs="黑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4" w:hRule="atLeast"/>
        </w:trPr>
        <w:tc>
          <w:tcPr>
            <w:tcW w:w="2032" w:type="dxa"/>
            <w:shd w:val="clear" w:color="auto" w:fill="auto"/>
            <w:vAlign w:val="center"/>
          </w:tcPr>
          <w:p>
            <w:pPr>
              <w:rPr>
                <w:rFonts w:hint="eastAsia" w:ascii="宋体" w:hAnsi="宋体" w:eastAsia="宋体" w:cs="宋体"/>
                <w:b/>
                <w:i w:val="0"/>
                <w:color w:val="000000"/>
                <w:sz w:val="24"/>
                <w:szCs w:val="24"/>
                <w:u w:val="none"/>
              </w:rPr>
            </w:pPr>
          </w:p>
        </w:tc>
        <w:tc>
          <w:tcPr>
            <w:tcW w:w="617" w:type="dxa"/>
            <w:gridSpan w:val="2"/>
            <w:shd w:val="clear" w:color="auto" w:fill="auto"/>
            <w:vAlign w:val="center"/>
          </w:tcPr>
          <w:p>
            <w:pPr>
              <w:jc w:val="center"/>
              <w:rPr>
                <w:rFonts w:hint="eastAsia" w:ascii="宋体" w:hAnsi="宋体" w:eastAsia="宋体" w:cs="宋体"/>
                <w:i w:val="0"/>
                <w:color w:val="000000"/>
                <w:sz w:val="24"/>
                <w:szCs w:val="24"/>
                <w:u w:val="none"/>
              </w:rPr>
            </w:pPr>
          </w:p>
        </w:tc>
        <w:tc>
          <w:tcPr>
            <w:tcW w:w="733" w:type="dxa"/>
            <w:gridSpan w:val="2"/>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shd w:val="clear" w:color="auto" w:fill="auto"/>
            <w:vAlign w:val="center"/>
          </w:tcPr>
          <w:p>
            <w:pPr>
              <w:rPr>
                <w:rFonts w:hint="eastAsia" w:ascii="宋体" w:hAnsi="宋体" w:eastAsia="宋体" w:cs="宋体"/>
                <w:i w:val="0"/>
                <w:color w:val="000000"/>
                <w:sz w:val="24"/>
                <w:szCs w:val="24"/>
                <w:u w:val="none"/>
              </w:rPr>
            </w:pPr>
          </w:p>
        </w:tc>
        <w:tc>
          <w:tcPr>
            <w:tcW w:w="2325" w:type="dxa"/>
            <w:gridSpan w:val="5"/>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农清汇总01-2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6" w:hRule="atLeast"/>
        </w:trPr>
        <w:tc>
          <w:tcPr>
            <w:tcW w:w="8692" w:type="dxa"/>
            <w:gridSpan w:val="14"/>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填报单位：</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201</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年___月</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日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8" w:hRule="atLeast"/>
        </w:trPr>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资产</w:t>
            </w:r>
          </w:p>
        </w:tc>
        <w:tc>
          <w:tcPr>
            <w:tcW w:w="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行</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次</w:t>
            </w:r>
          </w:p>
        </w:tc>
        <w:tc>
          <w:tcPr>
            <w:tcW w:w="7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账</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面</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数</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核</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实</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数</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负责及所有者权益</w:t>
            </w:r>
          </w:p>
        </w:tc>
        <w:tc>
          <w:tcPr>
            <w:tcW w:w="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 xml:space="preserve">行  </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账</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面</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数</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核</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实</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一、流动资产合计：</w:t>
            </w:r>
          </w:p>
        </w:tc>
        <w:tc>
          <w:tcPr>
            <w:tcW w:w="617"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w:t>
            </w:r>
          </w:p>
        </w:tc>
        <w:tc>
          <w:tcPr>
            <w:tcW w:w="733"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一、流动负债合计：</w:t>
            </w:r>
          </w:p>
        </w:tc>
        <w:tc>
          <w:tcPr>
            <w:tcW w:w="66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79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货币资金</w:t>
            </w:r>
          </w:p>
        </w:tc>
        <w:tc>
          <w:tcPr>
            <w:tcW w:w="617"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w:t>
            </w:r>
          </w:p>
        </w:tc>
        <w:tc>
          <w:tcPr>
            <w:tcW w:w="733"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短期借款</w:t>
            </w:r>
          </w:p>
        </w:tc>
        <w:tc>
          <w:tcPr>
            <w:tcW w:w="66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79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短期投资</w:t>
            </w:r>
          </w:p>
        </w:tc>
        <w:tc>
          <w:tcPr>
            <w:tcW w:w="617"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w:t>
            </w:r>
          </w:p>
        </w:tc>
        <w:tc>
          <w:tcPr>
            <w:tcW w:w="733"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应付票据</w:t>
            </w:r>
          </w:p>
        </w:tc>
        <w:tc>
          <w:tcPr>
            <w:tcW w:w="66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79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应收票据</w:t>
            </w:r>
          </w:p>
        </w:tc>
        <w:tc>
          <w:tcPr>
            <w:tcW w:w="617"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4</w:t>
            </w:r>
          </w:p>
        </w:tc>
        <w:tc>
          <w:tcPr>
            <w:tcW w:w="733"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应付账款</w:t>
            </w:r>
          </w:p>
        </w:tc>
        <w:tc>
          <w:tcPr>
            <w:tcW w:w="66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79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应收账款</w:t>
            </w:r>
          </w:p>
        </w:tc>
        <w:tc>
          <w:tcPr>
            <w:tcW w:w="617"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5</w:t>
            </w:r>
          </w:p>
        </w:tc>
        <w:tc>
          <w:tcPr>
            <w:tcW w:w="733"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应付职工薪酬</w:t>
            </w:r>
          </w:p>
        </w:tc>
        <w:tc>
          <w:tcPr>
            <w:tcW w:w="66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79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应收利息</w:t>
            </w:r>
          </w:p>
        </w:tc>
        <w:tc>
          <w:tcPr>
            <w:tcW w:w="617"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6</w:t>
            </w:r>
          </w:p>
        </w:tc>
        <w:tc>
          <w:tcPr>
            <w:tcW w:w="733"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应交税费</w:t>
            </w:r>
          </w:p>
        </w:tc>
        <w:tc>
          <w:tcPr>
            <w:tcW w:w="66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79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应收股利</w:t>
            </w:r>
          </w:p>
        </w:tc>
        <w:tc>
          <w:tcPr>
            <w:tcW w:w="617"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7</w:t>
            </w:r>
          </w:p>
        </w:tc>
        <w:tc>
          <w:tcPr>
            <w:tcW w:w="733"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应付利息</w:t>
            </w:r>
          </w:p>
        </w:tc>
        <w:tc>
          <w:tcPr>
            <w:tcW w:w="66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9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存货</w:t>
            </w:r>
          </w:p>
        </w:tc>
        <w:tc>
          <w:tcPr>
            <w:tcW w:w="617"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8</w:t>
            </w:r>
          </w:p>
        </w:tc>
        <w:tc>
          <w:tcPr>
            <w:tcW w:w="733"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应付股利</w:t>
            </w:r>
          </w:p>
        </w:tc>
        <w:tc>
          <w:tcPr>
            <w:tcW w:w="66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79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其他流动资产</w:t>
            </w:r>
          </w:p>
        </w:tc>
        <w:tc>
          <w:tcPr>
            <w:tcW w:w="617"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9</w:t>
            </w:r>
          </w:p>
        </w:tc>
        <w:tc>
          <w:tcPr>
            <w:tcW w:w="733"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其他流动负债</w:t>
            </w:r>
          </w:p>
        </w:tc>
        <w:tc>
          <w:tcPr>
            <w:tcW w:w="66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二、非流动资产合计：</w:t>
            </w:r>
          </w:p>
        </w:tc>
        <w:tc>
          <w:tcPr>
            <w:tcW w:w="617"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10</w:t>
            </w:r>
          </w:p>
        </w:tc>
        <w:tc>
          <w:tcPr>
            <w:tcW w:w="733" w:type="dxa"/>
            <w:gridSpan w:val="2"/>
            <w:tcBorders>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二、非流动负债合计：</w:t>
            </w:r>
          </w:p>
        </w:tc>
        <w:tc>
          <w:tcPr>
            <w:tcW w:w="66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79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7"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可供出售金融资产</w:t>
            </w:r>
          </w:p>
        </w:tc>
        <w:tc>
          <w:tcPr>
            <w:tcW w:w="617"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11</w:t>
            </w:r>
          </w:p>
        </w:tc>
        <w:tc>
          <w:tcPr>
            <w:tcW w:w="733" w:type="dxa"/>
            <w:gridSpan w:val="2"/>
            <w:tcBorders>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长期借款</w:t>
            </w:r>
          </w:p>
        </w:tc>
        <w:tc>
          <w:tcPr>
            <w:tcW w:w="66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79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7"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持有至到期投资</w:t>
            </w:r>
          </w:p>
        </w:tc>
        <w:tc>
          <w:tcPr>
            <w:tcW w:w="617"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12</w:t>
            </w:r>
          </w:p>
        </w:tc>
        <w:tc>
          <w:tcPr>
            <w:tcW w:w="733" w:type="dxa"/>
            <w:gridSpan w:val="2"/>
            <w:tcBorders>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应付债券</w:t>
            </w:r>
          </w:p>
        </w:tc>
        <w:tc>
          <w:tcPr>
            <w:tcW w:w="66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79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长期应收款</w:t>
            </w:r>
          </w:p>
        </w:tc>
        <w:tc>
          <w:tcPr>
            <w:tcW w:w="617"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13</w:t>
            </w:r>
          </w:p>
        </w:tc>
        <w:tc>
          <w:tcPr>
            <w:tcW w:w="733"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长期应付款</w:t>
            </w:r>
          </w:p>
        </w:tc>
        <w:tc>
          <w:tcPr>
            <w:tcW w:w="66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79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3"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长期股权投资</w:t>
            </w:r>
          </w:p>
        </w:tc>
        <w:tc>
          <w:tcPr>
            <w:tcW w:w="617"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14</w:t>
            </w:r>
          </w:p>
        </w:tc>
        <w:tc>
          <w:tcPr>
            <w:tcW w:w="733"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专项应付款</w:t>
            </w:r>
          </w:p>
        </w:tc>
        <w:tc>
          <w:tcPr>
            <w:tcW w:w="66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79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2"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投资性房地产</w:t>
            </w:r>
          </w:p>
        </w:tc>
        <w:tc>
          <w:tcPr>
            <w:tcW w:w="617"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15</w:t>
            </w:r>
          </w:p>
        </w:tc>
        <w:tc>
          <w:tcPr>
            <w:tcW w:w="733"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其他非流动负债</w:t>
            </w:r>
          </w:p>
        </w:tc>
        <w:tc>
          <w:tcPr>
            <w:tcW w:w="66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79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固定资产</w:t>
            </w:r>
          </w:p>
        </w:tc>
        <w:tc>
          <w:tcPr>
            <w:tcW w:w="617"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16</w:t>
            </w:r>
          </w:p>
        </w:tc>
        <w:tc>
          <w:tcPr>
            <w:tcW w:w="733"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负债合计</w:t>
            </w:r>
          </w:p>
        </w:tc>
        <w:tc>
          <w:tcPr>
            <w:tcW w:w="66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79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7"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在建工程</w:t>
            </w:r>
          </w:p>
        </w:tc>
        <w:tc>
          <w:tcPr>
            <w:tcW w:w="617"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17</w:t>
            </w:r>
          </w:p>
        </w:tc>
        <w:tc>
          <w:tcPr>
            <w:tcW w:w="733"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三、所有者权益合计</w:t>
            </w:r>
          </w:p>
        </w:tc>
        <w:tc>
          <w:tcPr>
            <w:tcW w:w="66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79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固定资产清理</w:t>
            </w:r>
          </w:p>
        </w:tc>
        <w:tc>
          <w:tcPr>
            <w:tcW w:w="617"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18</w:t>
            </w:r>
          </w:p>
        </w:tc>
        <w:tc>
          <w:tcPr>
            <w:tcW w:w="733"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实收资本（或股本）</w:t>
            </w:r>
          </w:p>
        </w:tc>
        <w:tc>
          <w:tcPr>
            <w:tcW w:w="66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79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生产性生物资产 </w:t>
            </w:r>
          </w:p>
        </w:tc>
        <w:tc>
          <w:tcPr>
            <w:tcW w:w="617"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19</w:t>
            </w:r>
          </w:p>
        </w:tc>
        <w:tc>
          <w:tcPr>
            <w:tcW w:w="733"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资本公积</w:t>
            </w:r>
          </w:p>
        </w:tc>
        <w:tc>
          <w:tcPr>
            <w:tcW w:w="66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79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w:t>
            </w:r>
          </w:p>
        </w:tc>
        <w:tc>
          <w:tcPr>
            <w:tcW w:w="617"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20</w:t>
            </w:r>
          </w:p>
        </w:tc>
        <w:tc>
          <w:tcPr>
            <w:tcW w:w="733"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盈余公积</w:t>
            </w:r>
          </w:p>
        </w:tc>
        <w:tc>
          <w:tcPr>
            <w:tcW w:w="66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79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4"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长期待摊费用</w:t>
            </w:r>
          </w:p>
        </w:tc>
        <w:tc>
          <w:tcPr>
            <w:tcW w:w="617"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21</w:t>
            </w:r>
          </w:p>
        </w:tc>
        <w:tc>
          <w:tcPr>
            <w:tcW w:w="733"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未分配利润</w:t>
            </w:r>
          </w:p>
        </w:tc>
        <w:tc>
          <w:tcPr>
            <w:tcW w:w="66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79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其他非流动资产</w:t>
            </w:r>
          </w:p>
        </w:tc>
        <w:tc>
          <w:tcPr>
            <w:tcW w:w="617"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22</w:t>
            </w:r>
          </w:p>
        </w:tc>
        <w:tc>
          <w:tcPr>
            <w:tcW w:w="733"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right w:val="single" w:color="000000" w:sz="4" w:space="0"/>
            </w:tcBorders>
            <w:shd w:val="clear" w:color="auto" w:fill="auto"/>
            <w:vAlign w:val="center"/>
          </w:tcPr>
          <w:p>
            <w:pPr>
              <w:jc w:val="left"/>
              <w:rPr>
                <w:rFonts w:hint="eastAsia" w:ascii="仿宋_GB2312" w:hAnsi="宋体" w:eastAsia="仿宋_GB2312" w:cs="仿宋_GB2312"/>
                <w:b/>
                <w:i w:val="0"/>
                <w:color w:val="000000"/>
                <w:sz w:val="24"/>
                <w:szCs w:val="24"/>
                <w:u w:val="none"/>
              </w:rPr>
            </w:pPr>
          </w:p>
        </w:tc>
        <w:tc>
          <w:tcPr>
            <w:tcW w:w="66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79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7" w:hRule="atLeast"/>
        </w:trPr>
        <w:tc>
          <w:tcPr>
            <w:tcW w:w="2032" w:type="dxa"/>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资产总计</w:t>
            </w:r>
          </w:p>
        </w:tc>
        <w:tc>
          <w:tcPr>
            <w:tcW w:w="617"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23</w:t>
            </w:r>
          </w:p>
        </w:tc>
        <w:tc>
          <w:tcPr>
            <w:tcW w:w="733"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5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3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负债和所有者权益总计</w:t>
            </w:r>
          </w:p>
        </w:tc>
        <w:tc>
          <w:tcPr>
            <w:tcW w:w="660"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79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48" w:hRule="atLeast"/>
        </w:trPr>
        <w:tc>
          <w:tcPr>
            <w:tcW w:w="41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填表人：</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 xml:space="preserve"> </w:t>
            </w:r>
          </w:p>
        </w:tc>
        <w:tc>
          <w:tcPr>
            <w:tcW w:w="4560"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填报单位（签章）：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7" w:hRule="atLeast"/>
        </w:trPr>
        <w:tc>
          <w:tcPr>
            <w:tcW w:w="8692" w:type="dxa"/>
            <w:gridSpan w:val="14"/>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资产负债汇总表（合并报表）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3" w:hRule="atLeast"/>
        </w:trPr>
        <w:tc>
          <w:tcPr>
            <w:tcW w:w="2124" w:type="dxa"/>
            <w:gridSpan w:val="2"/>
            <w:shd w:val="clear" w:color="auto" w:fill="auto"/>
            <w:vAlign w:val="center"/>
          </w:tcPr>
          <w:p>
            <w:pPr>
              <w:jc w:val="center"/>
              <w:rPr>
                <w:rFonts w:hint="eastAsia" w:ascii="黑体" w:hAnsi="宋体" w:eastAsia="黑体" w:cs="黑体"/>
                <w:i w:val="0"/>
                <w:color w:val="000000"/>
                <w:sz w:val="36"/>
                <w:szCs w:val="36"/>
                <w:u w:val="none"/>
              </w:rPr>
            </w:pPr>
          </w:p>
        </w:tc>
        <w:tc>
          <w:tcPr>
            <w:tcW w:w="4438" w:type="dxa"/>
            <w:gridSpan w:val="8"/>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（乡镇级、村级、组级）</w:t>
            </w:r>
          </w:p>
        </w:tc>
        <w:tc>
          <w:tcPr>
            <w:tcW w:w="465" w:type="dxa"/>
            <w:shd w:val="clear" w:color="auto" w:fill="auto"/>
            <w:vAlign w:val="center"/>
          </w:tcPr>
          <w:p>
            <w:pPr>
              <w:jc w:val="center"/>
              <w:rPr>
                <w:rFonts w:hint="eastAsia" w:ascii="黑体" w:hAnsi="宋体" w:eastAsia="黑体" w:cs="黑体"/>
                <w:i w:val="0"/>
                <w:color w:val="000000"/>
                <w:sz w:val="36"/>
                <w:szCs w:val="36"/>
                <w:u w:val="none"/>
              </w:rPr>
            </w:pPr>
          </w:p>
        </w:tc>
        <w:tc>
          <w:tcPr>
            <w:tcW w:w="1230" w:type="dxa"/>
            <w:gridSpan w:val="2"/>
            <w:shd w:val="clear" w:color="auto" w:fill="auto"/>
            <w:vAlign w:val="center"/>
          </w:tcPr>
          <w:p>
            <w:pPr>
              <w:jc w:val="center"/>
              <w:rPr>
                <w:rFonts w:hint="eastAsia" w:ascii="黑体" w:hAnsi="宋体" w:eastAsia="黑体" w:cs="黑体"/>
                <w:i w:val="0"/>
                <w:color w:val="000000"/>
                <w:sz w:val="36"/>
                <w:szCs w:val="36"/>
                <w:u w:val="none"/>
              </w:rPr>
            </w:pPr>
          </w:p>
        </w:tc>
        <w:tc>
          <w:tcPr>
            <w:tcW w:w="435" w:type="dxa"/>
            <w:shd w:val="clear" w:color="auto" w:fill="auto"/>
            <w:vAlign w:val="center"/>
          </w:tcPr>
          <w:p>
            <w:pPr>
              <w:jc w:val="center"/>
              <w:rPr>
                <w:rFonts w:hint="eastAsia" w:ascii="黑体" w:hAnsi="宋体" w:eastAsia="黑体" w:cs="黑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9" w:hRule="atLeast"/>
        </w:trPr>
        <w:tc>
          <w:tcPr>
            <w:tcW w:w="2124" w:type="dxa"/>
            <w:gridSpan w:val="2"/>
            <w:shd w:val="clear" w:color="auto" w:fill="auto"/>
            <w:vAlign w:val="center"/>
          </w:tcPr>
          <w:p>
            <w:pPr>
              <w:rPr>
                <w:rFonts w:hint="eastAsia" w:ascii="宋体" w:hAnsi="宋体" w:eastAsia="宋体" w:cs="宋体"/>
                <w:b/>
                <w:i w:val="0"/>
                <w:color w:val="000000"/>
                <w:sz w:val="24"/>
                <w:szCs w:val="24"/>
                <w:u w:val="none"/>
              </w:rPr>
            </w:pPr>
          </w:p>
        </w:tc>
        <w:tc>
          <w:tcPr>
            <w:tcW w:w="553" w:type="dxa"/>
            <w:gridSpan w:val="2"/>
            <w:shd w:val="clear" w:color="auto" w:fill="auto"/>
            <w:vAlign w:val="center"/>
          </w:tcPr>
          <w:p>
            <w:pPr>
              <w:jc w:val="center"/>
              <w:rPr>
                <w:rFonts w:hint="eastAsia" w:ascii="宋体" w:hAnsi="宋体" w:eastAsia="宋体" w:cs="宋体"/>
                <w:i w:val="0"/>
                <w:color w:val="000000"/>
                <w:sz w:val="24"/>
                <w:szCs w:val="24"/>
                <w:u w:val="none"/>
              </w:rPr>
            </w:pPr>
          </w:p>
        </w:tc>
        <w:tc>
          <w:tcPr>
            <w:tcW w:w="840" w:type="dxa"/>
            <w:gridSpan w:val="2"/>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shd w:val="clear" w:color="auto" w:fill="auto"/>
            <w:vAlign w:val="center"/>
          </w:tcPr>
          <w:p>
            <w:pPr>
              <w:rPr>
                <w:rFonts w:hint="eastAsia" w:ascii="宋体" w:hAnsi="宋体" w:eastAsia="宋体" w:cs="宋体"/>
                <w:i w:val="0"/>
                <w:color w:val="000000"/>
                <w:sz w:val="24"/>
                <w:szCs w:val="24"/>
                <w:u w:val="none"/>
              </w:rPr>
            </w:pPr>
          </w:p>
        </w:tc>
        <w:tc>
          <w:tcPr>
            <w:tcW w:w="2130" w:type="dxa"/>
            <w:gridSpan w:val="4"/>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农清汇总01-3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1" w:hRule="atLeast"/>
        </w:trPr>
        <w:tc>
          <w:tcPr>
            <w:tcW w:w="8692" w:type="dxa"/>
            <w:gridSpan w:val="14"/>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填报单位：</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201</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年___月</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日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资产</w:t>
            </w:r>
          </w:p>
        </w:tc>
        <w:tc>
          <w:tcPr>
            <w:tcW w:w="5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行次</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账面数</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核实数</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负责及所有者权益</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行次</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账面数</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核实数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2" w:hRule="atLeast"/>
        </w:trPr>
        <w:tc>
          <w:tcPr>
            <w:tcW w:w="2124"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一、流动资产合计</w:t>
            </w:r>
          </w:p>
        </w:tc>
        <w:tc>
          <w:tcPr>
            <w:tcW w:w="553"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w:t>
            </w:r>
          </w:p>
        </w:tc>
        <w:tc>
          <w:tcPr>
            <w:tcW w:w="840"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一、流动负债合计</w:t>
            </w:r>
          </w:p>
        </w:tc>
        <w:tc>
          <w:tcPr>
            <w:tcW w:w="46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25</w:t>
            </w:r>
          </w:p>
        </w:tc>
        <w:tc>
          <w:tcPr>
            <w:tcW w:w="1230"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3" w:hRule="atLeast"/>
        </w:trPr>
        <w:tc>
          <w:tcPr>
            <w:tcW w:w="2124"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货币资金</w:t>
            </w:r>
          </w:p>
        </w:tc>
        <w:tc>
          <w:tcPr>
            <w:tcW w:w="553"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w:t>
            </w:r>
          </w:p>
        </w:tc>
        <w:tc>
          <w:tcPr>
            <w:tcW w:w="84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短期借款</w:t>
            </w:r>
          </w:p>
        </w:tc>
        <w:tc>
          <w:tcPr>
            <w:tcW w:w="46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26</w:t>
            </w: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3" w:hRule="atLeast"/>
        </w:trPr>
        <w:tc>
          <w:tcPr>
            <w:tcW w:w="2124"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短期投资</w:t>
            </w:r>
          </w:p>
        </w:tc>
        <w:tc>
          <w:tcPr>
            <w:tcW w:w="553"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w:t>
            </w:r>
          </w:p>
        </w:tc>
        <w:tc>
          <w:tcPr>
            <w:tcW w:w="84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应付款项</w:t>
            </w:r>
          </w:p>
        </w:tc>
        <w:tc>
          <w:tcPr>
            <w:tcW w:w="46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27</w:t>
            </w: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8" w:hRule="atLeast"/>
        </w:trPr>
        <w:tc>
          <w:tcPr>
            <w:tcW w:w="2124"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应收款项</w:t>
            </w:r>
          </w:p>
        </w:tc>
        <w:tc>
          <w:tcPr>
            <w:tcW w:w="553"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4</w:t>
            </w:r>
          </w:p>
        </w:tc>
        <w:tc>
          <w:tcPr>
            <w:tcW w:w="84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应付工资</w:t>
            </w:r>
          </w:p>
        </w:tc>
        <w:tc>
          <w:tcPr>
            <w:tcW w:w="46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28</w:t>
            </w: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7" w:hRule="atLeast"/>
        </w:trPr>
        <w:tc>
          <w:tcPr>
            <w:tcW w:w="2124"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存货</w:t>
            </w:r>
          </w:p>
        </w:tc>
        <w:tc>
          <w:tcPr>
            <w:tcW w:w="553"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5</w:t>
            </w:r>
          </w:p>
        </w:tc>
        <w:tc>
          <w:tcPr>
            <w:tcW w:w="84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应付福利费</w:t>
            </w:r>
          </w:p>
        </w:tc>
        <w:tc>
          <w:tcPr>
            <w:tcW w:w="46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29</w:t>
            </w: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2124"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w:t>
            </w:r>
            <w:r>
              <w:rPr>
                <w:rFonts w:hint="default" w:ascii="Calibri" w:hAnsi="Calibri" w:eastAsia="宋体" w:cs="Calibri"/>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农业资产合计</w:t>
            </w:r>
          </w:p>
        </w:tc>
        <w:tc>
          <w:tcPr>
            <w:tcW w:w="553"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6</w:t>
            </w:r>
          </w:p>
        </w:tc>
        <w:tc>
          <w:tcPr>
            <w:tcW w:w="84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二、长期负债合计</w:t>
            </w:r>
          </w:p>
        </w:tc>
        <w:tc>
          <w:tcPr>
            <w:tcW w:w="465"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30</w:t>
            </w: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 w:hRule="atLeast"/>
        </w:trPr>
        <w:tc>
          <w:tcPr>
            <w:tcW w:w="2124"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牲畜（禽）资产</w:t>
            </w:r>
          </w:p>
        </w:tc>
        <w:tc>
          <w:tcPr>
            <w:tcW w:w="553"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7</w:t>
            </w:r>
          </w:p>
        </w:tc>
        <w:tc>
          <w:tcPr>
            <w:tcW w:w="84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长期借款及应付款</w:t>
            </w:r>
          </w:p>
        </w:tc>
        <w:tc>
          <w:tcPr>
            <w:tcW w:w="46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31</w:t>
            </w: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8" w:hRule="atLeast"/>
        </w:trPr>
        <w:tc>
          <w:tcPr>
            <w:tcW w:w="2124"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林木资产</w:t>
            </w:r>
          </w:p>
        </w:tc>
        <w:tc>
          <w:tcPr>
            <w:tcW w:w="553"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8</w:t>
            </w:r>
          </w:p>
        </w:tc>
        <w:tc>
          <w:tcPr>
            <w:tcW w:w="84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一事一议资金</w:t>
            </w:r>
          </w:p>
        </w:tc>
        <w:tc>
          <w:tcPr>
            <w:tcW w:w="465"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32</w:t>
            </w: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3" w:hRule="atLeast"/>
        </w:trPr>
        <w:tc>
          <w:tcPr>
            <w:tcW w:w="2124" w:type="dxa"/>
            <w:gridSpan w:val="2"/>
            <w:tcBorders>
              <w:left w:val="single" w:color="000000" w:sz="4" w:space="0"/>
              <w:right w:val="single" w:color="000000" w:sz="4" w:space="0"/>
            </w:tcBorders>
            <w:shd w:val="clear" w:color="auto" w:fill="auto"/>
            <w:vAlign w:val="center"/>
          </w:tcPr>
          <w:p>
            <w:pPr>
              <w:jc w:val="left"/>
              <w:rPr>
                <w:rFonts w:hint="default" w:ascii="Calibri" w:hAnsi="Calibri" w:eastAsia="宋体" w:cs="Calibri"/>
                <w:i w:val="0"/>
                <w:color w:val="000000"/>
                <w:sz w:val="20"/>
                <w:szCs w:val="20"/>
                <w:u w:val="none"/>
              </w:rPr>
            </w:pPr>
          </w:p>
        </w:tc>
        <w:tc>
          <w:tcPr>
            <w:tcW w:w="553"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9</w:t>
            </w:r>
          </w:p>
        </w:tc>
        <w:tc>
          <w:tcPr>
            <w:tcW w:w="84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专项应付款</w:t>
            </w:r>
          </w:p>
        </w:tc>
        <w:tc>
          <w:tcPr>
            <w:tcW w:w="46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33</w:t>
            </w: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2124" w:type="dxa"/>
            <w:gridSpan w:val="2"/>
            <w:tcBorders>
              <w:lef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三、长期资产合计</w:t>
            </w:r>
          </w:p>
        </w:tc>
        <w:tc>
          <w:tcPr>
            <w:tcW w:w="553"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10</w:t>
            </w:r>
          </w:p>
        </w:tc>
        <w:tc>
          <w:tcPr>
            <w:tcW w:w="840" w:type="dxa"/>
            <w:gridSpan w:val="2"/>
            <w:tcBorders>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其中：征地补偿款</w:t>
            </w:r>
          </w:p>
        </w:tc>
        <w:tc>
          <w:tcPr>
            <w:tcW w:w="465"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34</w:t>
            </w: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3" w:hRule="atLeast"/>
        </w:trPr>
        <w:tc>
          <w:tcPr>
            <w:tcW w:w="2124" w:type="dxa"/>
            <w:gridSpan w:val="2"/>
            <w:tcBorders>
              <w:lef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长期投资</w:t>
            </w:r>
          </w:p>
        </w:tc>
        <w:tc>
          <w:tcPr>
            <w:tcW w:w="553"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11</w:t>
            </w:r>
          </w:p>
        </w:tc>
        <w:tc>
          <w:tcPr>
            <w:tcW w:w="840" w:type="dxa"/>
            <w:gridSpan w:val="2"/>
            <w:tcBorders>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left w:val="single" w:color="000000" w:sz="4" w:space="0"/>
              <w:right w:val="single" w:color="000000" w:sz="4" w:space="0"/>
            </w:tcBorders>
            <w:shd w:val="clear" w:color="auto" w:fill="auto"/>
            <w:vAlign w:val="center"/>
          </w:tcPr>
          <w:p>
            <w:pPr>
              <w:jc w:val="both"/>
              <w:rPr>
                <w:rFonts w:hint="default" w:ascii="Calibri" w:hAnsi="Calibri" w:eastAsia="宋体" w:cs="Calibri"/>
                <w:i w:val="0"/>
                <w:color w:val="000000"/>
                <w:sz w:val="20"/>
                <w:szCs w:val="20"/>
                <w:u w:val="none"/>
              </w:rPr>
            </w:pPr>
          </w:p>
        </w:tc>
        <w:tc>
          <w:tcPr>
            <w:tcW w:w="46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35</w:t>
            </w: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2124" w:type="dxa"/>
            <w:gridSpan w:val="2"/>
            <w:tcBorders>
              <w:lef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其中：长期股权投资</w:t>
            </w:r>
          </w:p>
        </w:tc>
        <w:tc>
          <w:tcPr>
            <w:tcW w:w="553"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12</w:t>
            </w:r>
          </w:p>
        </w:tc>
        <w:tc>
          <w:tcPr>
            <w:tcW w:w="840" w:type="dxa"/>
            <w:gridSpan w:val="2"/>
            <w:tcBorders>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三、所有者权益合计</w:t>
            </w:r>
          </w:p>
        </w:tc>
        <w:tc>
          <w:tcPr>
            <w:tcW w:w="465" w:type="dxa"/>
            <w:tcBorders>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36</w:t>
            </w: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2124"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四、固定资产合计</w:t>
            </w:r>
          </w:p>
        </w:tc>
        <w:tc>
          <w:tcPr>
            <w:tcW w:w="553"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13</w:t>
            </w:r>
          </w:p>
        </w:tc>
        <w:tc>
          <w:tcPr>
            <w:tcW w:w="84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lef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资本</w:t>
            </w:r>
          </w:p>
        </w:tc>
        <w:tc>
          <w:tcPr>
            <w:tcW w:w="46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37</w:t>
            </w: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2124" w:type="dxa"/>
            <w:gridSpan w:val="2"/>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固定资产原值</w:t>
            </w:r>
          </w:p>
        </w:tc>
        <w:tc>
          <w:tcPr>
            <w:tcW w:w="553" w:type="dxa"/>
            <w:gridSpan w:val="2"/>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14</w:t>
            </w:r>
          </w:p>
        </w:tc>
        <w:tc>
          <w:tcPr>
            <w:tcW w:w="84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其中：政府拨款等形成</w:t>
            </w:r>
          </w:p>
        </w:tc>
        <w:tc>
          <w:tcPr>
            <w:tcW w:w="465"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38</w:t>
            </w: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7" w:hRule="atLeast"/>
        </w:trPr>
        <w:tc>
          <w:tcPr>
            <w:tcW w:w="2124" w:type="dxa"/>
            <w:gridSpan w:val="2"/>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553" w:type="dxa"/>
            <w:gridSpan w:val="2"/>
            <w:vMerge w:val="continue"/>
            <w:tcBorders>
              <w:left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4"/>
                <w:szCs w:val="24"/>
                <w:u w:val="none"/>
              </w:rPr>
            </w:pPr>
          </w:p>
        </w:tc>
        <w:tc>
          <w:tcPr>
            <w:tcW w:w="84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资产转增资本</w:t>
            </w:r>
          </w:p>
        </w:tc>
        <w:tc>
          <w:tcPr>
            <w:tcW w:w="465" w:type="dxa"/>
            <w:vMerge w:val="continue"/>
            <w:tcBorders>
              <w:left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4"/>
                <w:szCs w:val="24"/>
                <w:u w:val="none"/>
              </w:rPr>
            </w:pP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3" w:hRule="atLeast"/>
        </w:trPr>
        <w:tc>
          <w:tcPr>
            <w:tcW w:w="2124"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减：累计折旧</w:t>
            </w:r>
          </w:p>
        </w:tc>
        <w:tc>
          <w:tcPr>
            <w:tcW w:w="553"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15</w:t>
            </w:r>
          </w:p>
        </w:tc>
        <w:tc>
          <w:tcPr>
            <w:tcW w:w="84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公积公益金 </w:t>
            </w:r>
          </w:p>
        </w:tc>
        <w:tc>
          <w:tcPr>
            <w:tcW w:w="46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39</w:t>
            </w: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2124"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固定资产净值</w:t>
            </w:r>
          </w:p>
        </w:tc>
        <w:tc>
          <w:tcPr>
            <w:tcW w:w="553"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16</w:t>
            </w:r>
          </w:p>
        </w:tc>
        <w:tc>
          <w:tcPr>
            <w:tcW w:w="84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w:t>
            </w:r>
            <w:r>
              <w:rPr>
                <w:rFonts w:hint="default" w:ascii="Calibri" w:hAnsi="Calibri" w:eastAsia="宋体" w:cs="Calibri"/>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征地补偿费转入</w:t>
            </w:r>
          </w:p>
        </w:tc>
        <w:tc>
          <w:tcPr>
            <w:tcW w:w="46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40</w:t>
            </w: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7" w:hRule="atLeast"/>
        </w:trPr>
        <w:tc>
          <w:tcPr>
            <w:tcW w:w="2124"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其中：经营性固定资产 </w:t>
            </w:r>
          </w:p>
        </w:tc>
        <w:tc>
          <w:tcPr>
            <w:tcW w:w="553"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17</w:t>
            </w:r>
          </w:p>
        </w:tc>
        <w:tc>
          <w:tcPr>
            <w:tcW w:w="84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未分配收益</w:t>
            </w:r>
          </w:p>
        </w:tc>
        <w:tc>
          <w:tcPr>
            <w:tcW w:w="46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41</w:t>
            </w: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2124"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固定资产清理</w:t>
            </w:r>
          </w:p>
        </w:tc>
        <w:tc>
          <w:tcPr>
            <w:tcW w:w="553"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18</w:t>
            </w:r>
          </w:p>
        </w:tc>
        <w:tc>
          <w:tcPr>
            <w:tcW w:w="84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负债和所有者权益合计</w:t>
            </w:r>
          </w:p>
        </w:tc>
        <w:tc>
          <w:tcPr>
            <w:tcW w:w="46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42</w:t>
            </w: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8" w:hRule="atLeast"/>
        </w:trPr>
        <w:tc>
          <w:tcPr>
            <w:tcW w:w="2124"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在建工程</w:t>
            </w:r>
          </w:p>
        </w:tc>
        <w:tc>
          <w:tcPr>
            <w:tcW w:w="553"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19</w:t>
            </w:r>
          </w:p>
        </w:tc>
        <w:tc>
          <w:tcPr>
            <w:tcW w:w="84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附表：</w:t>
            </w:r>
          </w:p>
        </w:tc>
        <w:tc>
          <w:tcPr>
            <w:tcW w:w="46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43</w:t>
            </w: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7" w:hRule="atLeast"/>
        </w:trPr>
        <w:tc>
          <w:tcPr>
            <w:tcW w:w="2124"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其中：经营性在建工程</w:t>
            </w:r>
          </w:p>
        </w:tc>
        <w:tc>
          <w:tcPr>
            <w:tcW w:w="553"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20</w:t>
            </w:r>
          </w:p>
        </w:tc>
        <w:tc>
          <w:tcPr>
            <w:tcW w:w="84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1.经营性资产</w:t>
            </w:r>
          </w:p>
        </w:tc>
        <w:tc>
          <w:tcPr>
            <w:tcW w:w="46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44</w:t>
            </w: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8" w:hRule="atLeast"/>
        </w:trPr>
        <w:tc>
          <w:tcPr>
            <w:tcW w:w="2124"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五、其他资产</w:t>
            </w:r>
          </w:p>
        </w:tc>
        <w:tc>
          <w:tcPr>
            <w:tcW w:w="553"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21</w:t>
            </w:r>
          </w:p>
        </w:tc>
        <w:tc>
          <w:tcPr>
            <w:tcW w:w="84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2.非经营性资产</w:t>
            </w:r>
          </w:p>
        </w:tc>
        <w:tc>
          <w:tcPr>
            <w:tcW w:w="46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45</w:t>
            </w: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8" w:hRule="atLeast"/>
        </w:trPr>
        <w:tc>
          <w:tcPr>
            <w:tcW w:w="2124"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其中:无形资产</w:t>
            </w:r>
          </w:p>
        </w:tc>
        <w:tc>
          <w:tcPr>
            <w:tcW w:w="553"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22</w:t>
            </w:r>
          </w:p>
        </w:tc>
        <w:tc>
          <w:tcPr>
            <w:tcW w:w="84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 xml:space="preserve">  3.</w:t>
            </w:r>
            <w:r>
              <w:rPr>
                <w:rFonts w:hint="eastAsia" w:ascii="宋体" w:hAnsi="宋体" w:eastAsia="宋体" w:cs="宋体"/>
                <w:i w:val="0"/>
                <w:color w:val="000000"/>
                <w:kern w:val="0"/>
                <w:sz w:val="20"/>
                <w:szCs w:val="20"/>
                <w:u w:val="none"/>
                <w:lang w:val="en-US" w:eastAsia="zh-CN" w:bidi="ar"/>
              </w:rPr>
              <w:t>待界定资产</w:t>
            </w:r>
          </w:p>
        </w:tc>
        <w:tc>
          <w:tcPr>
            <w:tcW w:w="46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46</w:t>
            </w: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7" w:hRule="atLeast"/>
        </w:trPr>
        <w:tc>
          <w:tcPr>
            <w:tcW w:w="2124"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资产总计</w:t>
            </w:r>
            <w:r>
              <w:rPr>
                <w:rFonts w:hint="default" w:ascii="Calibri" w:hAnsi="Calibri" w:eastAsia="宋体" w:cs="Calibri"/>
                <w:i w:val="0"/>
                <w:color w:val="000000"/>
                <w:kern w:val="0"/>
                <w:sz w:val="20"/>
                <w:szCs w:val="20"/>
                <w:u w:val="none"/>
                <w:lang w:val="en-US" w:eastAsia="zh-CN" w:bidi="ar"/>
              </w:rPr>
              <w:t xml:space="preserve">  </w:t>
            </w:r>
          </w:p>
        </w:tc>
        <w:tc>
          <w:tcPr>
            <w:tcW w:w="553"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23</w:t>
            </w:r>
          </w:p>
        </w:tc>
        <w:tc>
          <w:tcPr>
            <w:tcW w:w="84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0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4.全资子公司所有者权益</w:t>
            </w:r>
          </w:p>
        </w:tc>
        <w:tc>
          <w:tcPr>
            <w:tcW w:w="465"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4"/>
                <w:szCs w:val="24"/>
                <w:u w:val="none"/>
              </w:rPr>
            </w:pPr>
            <w:r>
              <w:rPr>
                <w:rFonts w:hint="default" w:ascii="Calibri" w:hAnsi="Calibri" w:eastAsia="宋体" w:cs="Calibri"/>
                <w:i w:val="0"/>
                <w:color w:val="000000"/>
                <w:kern w:val="0"/>
                <w:sz w:val="24"/>
                <w:szCs w:val="24"/>
                <w:u w:val="none"/>
                <w:lang w:val="en-US" w:eastAsia="zh-CN" w:bidi="ar"/>
              </w:rPr>
              <w:t>47</w:t>
            </w:r>
          </w:p>
        </w:tc>
        <w:tc>
          <w:tcPr>
            <w:tcW w:w="1230" w:type="dxa"/>
            <w:gridSpan w:val="2"/>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35"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8" w:hRule="atLeast"/>
        </w:trPr>
        <w:tc>
          <w:tcPr>
            <w:tcW w:w="441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备注：</w:t>
            </w:r>
          </w:p>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 xml:space="preserve">填表人： </w:t>
            </w:r>
          </w:p>
        </w:tc>
        <w:tc>
          <w:tcPr>
            <w:tcW w:w="4275"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填报单位（签章）：</w:t>
            </w:r>
          </w:p>
        </w:tc>
      </w:tr>
    </w:tbl>
    <w:p>
      <w:pPr>
        <w:jc w:val="left"/>
        <w:rPr>
          <w:rFonts w:hint="eastAsia" w:ascii="黑体" w:hAnsi="黑体" w:eastAsia="黑体" w:cs="黑体"/>
          <w:color w:val="000000"/>
          <w:kern w:val="0"/>
          <w:sz w:val="10"/>
          <w:szCs w:val="10"/>
          <w:lang w:val="en-US" w:eastAsia="zh-CN"/>
        </w:rPr>
      </w:pPr>
    </w:p>
    <w:tbl>
      <w:tblPr>
        <w:tblStyle w:val="9"/>
        <w:tblW w:w="86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27"/>
        <w:gridCol w:w="1155"/>
        <w:gridCol w:w="1875"/>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2" w:hRule="atLeast"/>
        </w:trPr>
        <w:tc>
          <w:tcPr>
            <w:tcW w:w="8677" w:type="dxa"/>
            <w:gridSpan w:val="4"/>
            <w:shd w:val="clear" w:color="auto" w:fill="auto"/>
            <w:vAlign w:val="center"/>
          </w:tcPr>
          <w:p>
            <w:pPr>
              <w:ind w:firstLine="1920" w:firstLineChars="600"/>
              <w:jc w:val="left"/>
              <w:rPr>
                <w:rFonts w:ascii="黑体" w:hAnsi="宋体" w:eastAsia="黑体" w:cs="黑体"/>
                <w:i w:val="0"/>
                <w:color w:val="000000"/>
                <w:sz w:val="20"/>
                <w:szCs w:val="20"/>
                <w:u w:val="none"/>
              </w:rPr>
            </w:pPr>
            <w:r>
              <w:rPr>
                <w:rFonts w:hint="eastAsia" w:ascii="黑体" w:hAnsi="黑体" w:eastAsia="黑体" w:cs="黑体"/>
                <w:color w:val="000000"/>
                <w:kern w:val="0"/>
                <w:sz w:val="32"/>
                <w:szCs w:val="32"/>
                <w:lang w:val="en-US" w:eastAsia="zh-CN"/>
              </w:rPr>
              <w:t xml:space="preserve">        </w:t>
            </w:r>
            <w:r>
              <w:rPr>
                <w:rFonts w:hint="eastAsia" w:ascii="黑体" w:hAnsi="宋体" w:eastAsia="黑体" w:cs="黑体"/>
                <w:i w:val="0"/>
                <w:color w:val="000000"/>
                <w:kern w:val="0"/>
                <w:sz w:val="28"/>
                <w:szCs w:val="28"/>
                <w:u w:val="none"/>
                <w:lang w:val="en-US" w:eastAsia="zh-CN" w:bidi="ar"/>
              </w:rPr>
              <w:t>资源性资产清查登记汇总表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 w:hRule="atLeast"/>
        </w:trPr>
        <w:tc>
          <w:tcPr>
            <w:tcW w:w="6457"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（乡镇级、村级、组级）</w:t>
            </w:r>
          </w:p>
        </w:tc>
        <w:tc>
          <w:tcPr>
            <w:tcW w:w="222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农清汇总02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 w:hRule="atLeast"/>
        </w:trPr>
        <w:tc>
          <w:tcPr>
            <w:tcW w:w="8677" w:type="dxa"/>
            <w:gridSpan w:val="4"/>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填报单位：</w:t>
            </w:r>
            <w:r>
              <w:rPr>
                <w:rStyle w:val="27"/>
                <w:sz w:val="20"/>
                <w:szCs w:val="20"/>
                <w:lang w:val="en-US" w:eastAsia="zh-CN" w:bidi="ar"/>
              </w:rPr>
              <w:t xml:space="preserve">         </w:t>
            </w:r>
            <w:r>
              <w:rPr>
                <w:rFonts w:hint="eastAsia" w:ascii="宋体" w:hAnsi="宋体" w:eastAsia="宋体" w:cs="宋体"/>
                <w:i w:val="0"/>
                <w:color w:val="000000"/>
                <w:kern w:val="0"/>
                <w:sz w:val="20"/>
                <w:szCs w:val="20"/>
                <w:u w:val="none"/>
                <w:lang w:val="en-US" w:eastAsia="zh-CN" w:bidi="ar"/>
              </w:rPr>
              <w:t xml:space="preserve">                    201</w:t>
            </w:r>
            <w:r>
              <w:rPr>
                <w:rStyle w:val="27"/>
                <w:sz w:val="20"/>
                <w:szCs w:val="20"/>
                <w:lang w:val="en-US" w:eastAsia="zh-CN" w:bidi="ar"/>
              </w:rPr>
              <w:t xml:space="preserve">  </w:t>
            </w:r>
            <w:r>
              <w:rPr>
                <w:rFonts w:hint="eastAsia" w:ascii="宋体" w:hAnsi="宋体" w:eastAsia="宋体" w:cs="宋体"/>
                <w:i w:val="0"/>
                <w:color w:val="000000"/>
                <w:kern w:val="0"/>
                <w:sz w:val="20"/>
                <w:szCs w:val="20"/>
                <w:u w:val="none"/>
                <w:lang w:val="en-US" w:eastAsia="zh-CN" w:bidi="ar"/>
              </w:rPr>
              <w:t>年</w:t>
            </w:r>
            <w:r>
              <w:rPr>
                <w:rStyle w:val="27"/>
                <w:sz w:val="20"/>
                <w:szCs w:val="20"/>
                <w:lang w:val="en-US" w:eastAsia="zh-CN" w:bidi="ar"/>
              </w:rPr>
              <w:t xml:space="preserve">  </w:t>
            </w:r>
            <w:r>
              <w:rPr>
                <w:rFonts w:hint="eastAsia" w:ascii="宋体" w:hAnsi="宋体" w:eastAsia="宋体" w:cs="宋体"/>
                <w:i w:val="0"/>
                <w:color w:val="000000"/>
                <w:kern w:val="0"/>
                <w:sz w:val="20"/>
                <w:szCs w:val="20"/>
                <w:u w:val="none"/>
                <w:lang w:val="en-US" w:eastAsia="zh-CN" w:bidi="ar"/>
              </w:rPr>
              <w:t>月</w:t>
            </w:r>
            <w:r>
              <w:rPr>
                <w:rStyle w:val="27"/>
                <w:sz w:val="20"/>
                <w:szCs w:val="20"/>
                <w:lang w:val="en-US" w:eastAsia="zh-CN" w:bidi="ar"/>
              </w:rPr>
              <w:t xml:space="preserve">  </w:t>
            </w:r>
            <w:r>
              <w:rPr>
                <w:rFonts w:hint="eastAsia" w:ascii="宋体" w:hAnsi="宋体" w:eastAsia="宋体" w:cs="宋体"/>
                <w:i w:val="0"/>
                <w:color w:val="000000"/>
                <w:kern w:val="0"/>
                <w:sz w:val="20"/>
                <w:szCs w:val="20"/>
                <w:u w:val="none"/>
                <w:lang w:val="en-US" w:eastAsia="zh-CN" w:bidi="ar"/>
              </w:rPr>
              <w:t>日                单位：亩、立方米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行次</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面积</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集体土地总面积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（一）农用地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1.耕地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其中：未承包到户面积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2.园地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其中：未承包到户面积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3.林地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其中：未承包到户面积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8</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4.草地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9</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其中：未承包到户面积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5.农田水利设施用地（沟渠）</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6.养殖水面（坑塘水面）</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其中：未承包到户面积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13</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7.其他农用地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14</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（二）建设用地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15</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工矿仓储用地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16</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商服用地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17</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农村宅基地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18</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公共管理与公共服务用地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19</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交通运输和水利设施用地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其他建设用地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（三）未利用地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附报：</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23</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（一）“四荒”地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24</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（二）待界定土地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25</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b/>
                <w:i w:val="0"/>
                <w:color w:val="000000"/>
                <w:kern w:val="0"/>
                <w:sz w:val="16"/>
                <w:szCs w:val="16"/>
                <w:u w:val="none"/>
                <w:lang w:val="en-US" w:eastAsia="zh-CN" w:bidi="ar"/>
              </w:rPr>
              <w:t xml:space="preserve">    1.待界定农用地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b/>
                <w:i w:val="0"/>
                <w:color w:val="000000"/>
                <w:kern w:val="0"/>
                <w:sz w:val="16"/>
                <w:szCs w:val="16"/>
                <w:u w:val="none"/>
                <w:lang w:val="en-US" w:eastAsia="zh-CN" w:bidi="ar"/>
              </w:rPr>
              <w:t>26</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2.待界定建设用地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27</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3.待界定未利用地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28</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（三）林木</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29</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1.公益林（立方米）</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30</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 w:hRule="atLeast"/>
        </w:trPr>
        <w:tc>
          <w:tcPr>
            <w:tcW w:w="3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 xml:space="preserve">    2.商品林（立方米）</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8" w:hRule="atLeast"/>
        </w:trPr>
        <w:tc>
          <w:tcPr>
            <w:tcW w:w="458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相关事项说明：</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填表人：</w:t>
            </w:r>
          </w:p>
        </w:tc>
        <w:tc>
          <w:tcPr>
            <w:tcW w:w="409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填报单位（公章）：</w:t>
            </w:r>
          </w:p>
        </w:tc>
      </w:tr>
    </w:tbl>
    <w:p>
      <w:pPr>
        <w:spacing w:line="60" w:lineRule="exact"/>
        <w:jc w:val="center"/>
        <w:rPr>
          <w:b/>
          <w:spacing w:val="15"/>
          <w:sz w:val="44"/>
          <w:szCs w:val="44"/>
        </w:rPr>
      </w:pPr>
    </w:p>
    <w:p>
      <w:pPr>
        <w:spacing w:line="60" w:lineRule="exact"/>
        <w:jc w:val="center"/>
        <w:rPr>
          <w:b/>
          <w:spacing w:val="15"/>
          <w:sz w:val="44"/>
          <w:szCs w:val="44"/>
        </w:rPr>
      </w:pPr>
    </w:p>
    <w:p>
      <w:pPr>
        <w:spacing w:line="60" w:lineRule="exact"/>
        <w:jc w:val="center"/>
        <w:rPr>
          <w:b/>
          <w:spacing w:val="15"/>
          <w:sz w:val="44"/>
          <w:szCs w:val="44"/>
        </w:rPr>
      </w:pPr>
    </w:p>
    <w:p>
      <w:pPr>
        <w:spacing w:line="60" w:lineRule="exact"/>
        <w:jc w:val="center"/>
        <w:rPr>
          <w:b/>
          <w:spacing w:val="15"/>
          <w:sz w:val="44"/>
          <w:szCs w:val="44"/>
        </w:rPr>
      </w:pPr>
    </w:p>
    <w:p>
      <w:pPr>
        <w:spacing w:line="60" w:lineRule="exact"/>
        <w:jc w:val="center"/>
        <w:rPr>
          <w:b/>
          <w:spacing w:val="15"/>
          <w:sz w:val="44"/>
          <w:szCs w:val="44"/>
        </w:rPr>
      </w:pPr>
    </w:p>
    <w:p>
      <w:pPr>
        <w:spacing w:line="60" w:lineRule="exact"/>
        <w:jc w:val="center"/>
        <w:rPr>
          <w:b/>
          <w:spacing w:val="15"/>
          <w:sz w:val="44"/>
          <w:szCs w:val="44"/>
        </w:rPr>
      </w:pPr>
    </w:p>
    <w:p>
      <w:pPr>
        <w:spacing w:line="60" w:lineRule="exact"/>
        <w:jc w:val="center"/>
        <w:rPr>
          <w:b/>
          <w:spacing w:val="15"/>
          <w:sz w:val="44"/>
          <w:szCs w:val="44"/>
        </w:rPr>
      </w:pPr>
    </w:p>
    <w:p>
      <w:pPr>
        <w:spacing w:line="580" w:lineRule="exact"/>
        <w:jc w:val="center"/>
        <w:rPr>
          <w:rFonts w:hint="eastAsia" w:ascii="宋体" w:hAnsi="宋体" w:eastAsia="宋体" w:cs="宋体"/>
          <w:b/>
          <w:bCs/>
          <w:snapToGrid w:val="0"/>
          <w:spacing w:val="15"/>
          <w:kern w:val="0"/>
          <w:sz w:val="44"/>
          <w:szCs w:val="44"/>
        </w:rPr>
      </w:pPr>
    </w:p>
    <w:p>
      <w:pPr>
        <w:spacing w:line="1620" w:lineRule="exact"/>
        <w:jc w:val="center"/>
        <w:rPr>
          <w:rFonts w:hint="eastAsia" w:ascii="方正小标宋简体" w:hAnsi="宋体" w:eastAsia="方正小标宋简体" w:cs="Times New Roman"/>
          <w:b/>
          <w:bCs/>
          <w:color w:val="FF0000"/>
          <w:spacing w:val="23"/>
          <w:w w:val="47"/>
          <w:sz w:val="80"/>
          <w:szCs w:val="80"/>
          <w:lang w:eastAsia="zh-CN"/>
        </w:rPr>
      </w:pPr>
      <w:r>
        <w:rPr>
          <w:rFonts w:hint="eastAsia" w:ascii="方正小标宋简体" w:hAnsi="宋体" w:eastAsia="方正小标宋简体" w:cs="Times New Roman"/>
          <w:b/>
          <w:bCs/>
          <w:color w:val="FF0000"/>
          <w:spacing w:val="23"/>
          <w:w w:val="47"/>
          <w:sz w:val="80"/>
          <w:szCs w:val="80"/>
          <w:lang w:eastAsia="zh-CN"/>
        </w:rPr>
        <w:t>馆陶县农村集体产权制度改革领导小组文件</w:t>
      </w:r>
    </w:p>
    <w:p>
      <w:pPr>
        <w:spacing w:line="560" w:lineRule="exact"/>
        <w:jc w:val="center"/>
        <w:rPr>
          <w:rFonts w:hint="eastAsia" w:ascii="创艺简粗黑" w:hAnsi="创艺简粗黑" w:eastAsia="创艺简粗黑" w:cs="创艺简粗黑"/>
          <w:b/>
          <w:bCs/>
          <w:color w:val="FF0000"/>
          <w:w w:val="80"/>
          <w:kern w:val="16"/>
          <w:sz w:val="56"/>
          <w:szCs w:val="56"/>
        </w:rPr>
      </w:pPr>
    </w:p>
    <w:p>
      <w:pPr>
        <w:spacing w:line="560" w:lineRule="exact"/>
        <w:jc w:val="center"/>
        <w:rPr>
          <w:rFonts w:hint="eastAsia" w:ascii="方正小标宋简体" w:hAnsi="方正小标宋简体" w:eastAsia="方正小标宋简体" w:cs="方正小标宋简体"/>
          <w:b/>
          <w:bCs/>
          <w:w w:val="108"/>
          <w:sz w:val="60"/>
          <w:szCs w:val="60"/>
        </w:rPr>
      </w:pPr>
    </w:p>
    <w:p>
      <w:pPr>
        <w:spacing w:line="560" w:lineRule="exact"/>
        <w:jc w:val="center"/>
        <w:rPr>
          <w:rFonts w:hint="eastAsia" w:ascii="方正小标宋简体" w:hAnsi="方正小标宋简体" w:eastAsia="方正小标宋简体" w:cs="方正小标宋简体"/>
          <w:b/>
          <w:bCs/>
          <w:w w:val="108"/>
          <w:sz w:val="44"/>
          <w:szCs w:val="44"/>
        </w:rPr>
      </w:pPr>
    </w:p>
    <w:p>
      <w:pPr>
        <w:spacing w:line="560" w:lineRule="exact"/>
        <w:jc w:val="center"/>
        <w:rPr>
          <w:rFonts w:hint="eastAsia" w:ascii="仿宋_GB2312" w:hAnsi="仿宋_GB2312" w:eastAsia="仿宋_GB2312" w:cs="仿宋_GB2312"/>
          <w:b/>
          <w:bCs/>
          <w:i w:val="0"/>
          <w:iCs w:val="0"/>
          <w:sz w:val="32"/>
          <w:szCs w:val="32"/>
          <w:u w:val="none"/>
        </w:rPr>
      </w:pPr>
      <w:r>
        <w:rPr>
          <w:rFonts w:hint="eastAsia" w:ascii="仿宋_GB2312" w:hAnsi="仿宋_GB2312" w:eastAsia="仿宋_GB2312" w:cs="仿宋_GB2312"/>
          <w:b/>
          <w:bCs/>
          <w:i w:val="0"/>
          <w:iCs w:val="0"/>
          <w:sz w:val="32"/>
          <w:szCs w:val="32"/>
          <w:u w:val="none"/>
        </w:rPr>
        <w:t>馆农改〔201</w:t>
      </w:r>
      <w:r>
        <w:rPr>
          <w:rFonts w:hint="eastAsia" w:ascii="仿宋_GB2312" w:hAnsi="仿宋_GB2312" w:eastAsia="仿宋_GB2312" w:cs="仿宋_GB2312"/>
          <w:b/>
          <w:bCs/>
          <w:i w:val="0"/>
          <w:iCs w:val="0"/>
          <w:sz w:val="32"/>
          <w:szCs w:val="32"/>
          <w:u w:val="none"/>
          <w:lang w:val="en-US" w:eastAsia="zh-CN"/>
        </w:rPr>
        <w:t>7</w:t>
      </w:r>
      <w:r>
        <w:rPr>
          <w:rFonts w:hint="eastAsia" w:ascii="仿宋_GB2312" w:hAnsi="仿宋_GB2312" w:eastAsia="仿宋_GB2312" w:cs="仿宋_GB2312"/>
          <w:b/>
          <w:bCs/>
          <w:i w:val="0"/>
          <w:iCs w:val="0"/>
          <w:sz w:val="32"/>
          <w:szCs w:val="32"/>
          <w:u w:val="none"/>
        </w:rPr>
        <w:t>〕</w:t>
      </w:r>
      <w:r>
        <w:rPr>
          <w:rFonts w:hint="eastAsia" w:ascii="仿宋_GB2312" w:hAnsi="仿宋_GB2312" w:eastAsia="仿宋_GB2312" w:cs="仿宋_GB2312"/>
          <w:b/>
          <w:bCs/>
          <w:i w:val="0"/>
          <w:iCs w:val="0"/>
          <w:sz w:val="32"/>
          <w:szCs w:val="32"/>
          <w:u w:val="none"/>
          <w:lang w:val="en-US" w:eastAsia="zh-CN"/>
        </w:rPr>
        <w:t>6</w:t>
      </w:r>
      <w:r>
        <w:rPr>
          <w:rFonts w:hint="eastAsia" w:ascii="仿宋_GB2312" w:hAnsi="仿宋_GB2312" w:eastAsia="仿宋_GB2312" w:cs="仿宋_GB2312"/>
          <w:b/>
          <w:bCs/>
          <w:i w:val="0"/>
          <w:iCs w:val="0"/>
          <w:sz w:val="32"/>
          <w:szCs w:val="32"/>
          <w:u w:val="none"/>
        </w:rPr>
        <w:t>号</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eastAsia="仿宋_GB2312"/>
          <w:snapToGrid w:val="0"/>
          <w:spacing w:val="15"/>
          <w:kern w:val="0"/>
          <w:sz w:val="32"/>
          <w:szCs w:val="32"/>
          <w:lang w:val="en-US" w:eastAsia="zh-CN"/>
        </w:rPr>
      </w:pPr>
      <w:r>
        <w:rPr>
          <w:rFonts w:hint="eastAsia" w:ascii="方正小标宋简体" w:hAnsi="方正小标宋简体" w:eastAsia="方正小标宋简体" w:cs="方正小标宋简体"/>
          <w:bCs/>
          <w:w w:val="108"/>
          <w:sz w:val="44"/>
          <w:szCs w:val="44"/>
          <w:lang w:eastAsia="zh-CN"/>
        </w:rPr>
        <w:t>—————————————————</w:t>
      </w:r>
    </w:p>
    <w:p>
      <w:pPr>
        <w:spacing w:line="580" w:lineRule="exact"/>
        <w:jc w:val="center"/>
        <w:rPr>
          <w:rFonts w:hint="eastAsia" w:ascii="方正小标宋简体" w:hAnsi="方正小标宋简体" w:eastAsia="方正小标宋简体" w:cs="方正小标宋简体"/>
          <w:b/>
          <w:bCs/>
          <w:snapToGrid w:val="0"/>
          <w:spacing w:val="15"/>
          <w:kern w:val="0"/>
          <w:sz w:val="44"/>
          <w:szCs w:val="44"/>
          <w:lang w:eastAsia="zh-CN"/>
        </w:rPr>
      </w:pPr>
    </w:p>
    <w:p>
      <w:pPr>
        <w:spacing w:line="580" w:lineRule="exact"/>
        <w:jc w:val="center"/>
        <w:rPr>
          <w:rFonts w:hint="eastAsia" w:ascii="方正小标宋简体" w:hAnsi="方正小标宋简体" w:eastAsia="方正小标宋简体" w:cs="方正小标宋简体"/>
          <w:b/>
          <w:bCs/>
          <w:snapToGrid w:val="0"/>
          <w:spacing w:val="15"/>
          <w:kern w:val="0"/>
          <w:sz w:val="44"/>
          <w:szCs w:val="44"/>
          <w:lang w:eastAsia="zh-CN"/>
        </w:rPr>
      </w:pPr>
      <w:r>
        <w:rPr>
          <w:rFonts w:hint="eastAsia" w:ascii="方正小标宋简体" w:hAnsi="方正小标宋简体" w:eastAsia="方正小标宋简体" w:cs="方正小标宋简体"/>
          <w:b/>
          <w:bCs/>
          <w:snapToGrid w:val="0"/>
          <w:spacing w:val="15"/>
          <w:kern w:val="0"/>
          <w:sz w:val="44"/>
          <w:szCs w:val="44"/>
          <w:lang w:eastAsia="zh-CN"/>
        </w:rPr>
        <w:t>馆陶县农村集体产权改革领导小组</w:t>
      </w:r>
    </w:p>
    <w:p>
      <w:pPr>
        <w:spacing w:line="560" w:lineRule="exact"/>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rPr>
        <w:t>关于</w:t>
      </w:r>
      <w:r>
        <w:rPr>
          <w:rFonts w:hint="eastAsia" w:ascii="方正小标宋简体" w:hAnsi="方正小标宋简体" w:eastAsia="方正小标宋简体" w:cs="方正小标宋简体"/>
          <w:b/>
          <w:bCs/>
          <w:sz w:val="44"/>
          <w:szCs w:val="44"/>
          <w:lang w:eastAsia="zh-CN"/>
        </w:rPr>
        <w:t>印发《加强农村集体资金资产资源管理</w:t>
      </w:r>
    </w:p>
    <w:p>
      <w:pPr>
        <w:spacing w:line="560" w:lineRule="exact"/>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的实施方案》的通知</w:t>
      </w:r>
    </w:p>
    <w:p>
      <w:pPr>
        <w:spacing w:line="580" w:lineRule="exact"/>
        <w:ind w:firstLine="943" w:firstLineChars="200"/>
        <w:jc w:val="center"/>
        <w:rPr>
          <w:rFonts w:hint="eastAsia" w:ascii="方正小标宋简体" w:hAnsi="方正小标宋简体" w:eastAsia="方正小标宋简体" w:cs="方正小标宋简体"/>
          <w:b/>
          <w:bCs/>
          <w:snapToGrid w:val="0"/>
          <w:spacing w:val="15"/>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各乡镇党委，县直各部门，县直各单位党委（党组）、党支、支部，经济开发区党工委：</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eastAsia="zh-CN"/>
        </w:rPr>
        <w:t>加强农村集体资金资产资源管理的实施方案</w:t>
      </w:r>
      <w:r>
        <w:rPr>
          <w:rFonts w:hint="eastAsia" w:ascii="仿宋_GB2312" w:hAnsi="仿宋_GB2312" w:eastAsia="仿宋_GB2312" w:cs="仿宋_GB2312"/>
          <w:sz w:val="32"/>
          <w:szCs w:val="32"/>
        </w:rPr>
        <w:t>》印发给你们，请按照</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认真贯彻落实</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right"/>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right"/>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right"/>
        <w:textAlignment w:val="auto"/>
        <w:outlineLvl w:val="9"/>
        <w:rPr>
          <w:rFonts w:ascii="仿宋_GB2312" w:hAnsi="仿宋_GB2312" w:eastAsia="仿宋_GB2312"/>
          <w:sz w:val="32"/>
        </w:rPr>
      </w:pPr>
      <w:r>
        <w:rPr>
          <w:rFonts w:hint="eastAsia" w:ascii="仿宋_GB2312" w:hAnsi="仿宋_GB2312" w:eastAsia="仿宋_GB2312"/>
          <w:sz w:val="32"/>
        </w:rPr>
        <w:t>馆陶县农村集体产权制度改革领导小组办公室</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center"/>
        <w:textAlignment w:val="auto"/>
        <w:rPr>
          <w:rFonts w:hint="eastAsia" w:ascii="方正小标宋简体" w:hAnsi="方正小标宋简体" w:eastAsia="方正小标宋简体" w:cs="方正小标宋简体"/>
          <w:b/>
          <w:bCs/>
          <w:snapToGrid w:val="0"/>
          <w:spacing w:val="15"/>
          <w:kern w:val="0"/>
          <w:sz w:val="44"/>
          <w:szCs w:val="44"/>
          <w:lang w:val="en-US" w:eastAsia="zh-CN"/>
        </w:rPr>
      </w:pPr>
      <w:r>
        <w:rPr>
          <w:rFonts w:hint="eastAsia" w:ascii="仿宋_GB2312" w:hAnsi="仿宋_GB2312" w:eastAsia="仿宋_GB2312"/>
          <w:sz w:val="32"/>
        </w:rPr>
        <w:t xml:space="preserve">                              201</w:t>
      </w:r>
      <w:r>
        <w:rPr>
          <w:rFonts w:hint="eastAsia" w:ascii="仿宋_GB2312" w:hAnsi="仿宋_GB2312" w:eastAsia="仿宋_GB2312"/>
          <w:sz w:val="32"/>
          <w:lang w:val="en-US" w:eastAsia="zh-CN"/>
        </w:rPr>
        <w:t>7</w:t>
      </w:r>
      <w:r>
        <w:rPr>
          <w:rFonts w:hint="eastAsia" w:ascii="仿宋_GB2312" w:hAnsi="仿宋_GB2312" w:eastAsia="仿宋_GB2312"/>
          <w:sz w:val="32"/>
        </w:rPr>
        <w:t>年</w:t>
      </w:r>
      <w:r>
        <w:rPr>
          <w:rFonts w:hint="eastAsia" w:ascii="仿宋_GB2312" w:hAnsi="仿宋_GB2312" w:eastAsia="仿宋_GB2312"/>
          <w:sz w:val="32"/>
          <w:lang w:val="en-US" w:eastAsia="zh-CN"/>
        </w:rPr>
        <w:t>1</w:t>
      </w:r>
      <w:r>
        <w:rPr>
          <w:rFonts w:hint="eastAsia" w:ascii="仿宋_GB2312" w:hAnsi="仿宋_GB2312" w:eastAsia="仿宋_GB2312"/>
          <w:sz w:val="32"/>
        </w:rPr>
        <w:t>1月</w:t>
      </w:r>
      <w:r>
        <w:rPr>
          <w:rFonts w:hint="eastAsia" w:ascii="仿宋_GB2312" w:hAnsi="仿宋_GB2312" w:eastAsia="仿宋_GB2312"/>
          <w:sz w:val="32"/>
          <w:lang w:val="en-US" w:eastAsia="zh-CN"/>
        </w:rPr>
        <w:t>10</w:t>
      </w:r>
      <w:r>
        <w:rPr>
          <w:rFonts w:hint="eastAsia" w:ascii="仿宋_GB2312" w:hAnsi="仿宋_GB2312" w:eastAsia="仿宋_GB2312"/>
          <w:sz w:val="32"/>
        </w:rPr>
        <w:t>日</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加强农村集体资金资产资源管理的</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napToGrid w:val="0"/>
          <w:spacing w:val="15"/>
          <w:kern w:val="0"/>
          <w:sz w:val="44"/>
          <w:szCs w:val="44"/>
        </w:rPr>
      </w:pPr>
      <w:r>
        <w:rPr>
          <w:rFonts w:hint="eastAsia" w:ascii="方正小标宋简体" w:hAnsi="方正小标宋简体" w:eastAsia="方正小标宋简体" w:cs="方正小标宋简体"/>
          <w:sz w:val="44"/>
          <w:szCs w:val="44"/>
          <w:lang w:eastAsia="zh-CN"/>
        </w:rPr>
        <w:t>实施方案</w:t>
      </w:r>
    </w:p>
    <w:p>
      <w:pPr>
        <w:keepNext w:val="0"/>
        <w:keepLines w:val="0"/>
        <w:pageBreakBefore w:val="0"/>
        <w:widowControl w:val="0"/>
        <w:kinsoku/>
        <w:wordWrap/>
        <w:overflowPunct/>
        <w:topLinePunct w:val="0"/>
        <w:autoSpaceDE/>
        <w:autoSpaceDN/>
        <w:bidi w:val="0"/>
        <w:adjustRightInd/>
        <w:snapToGrid/>
        <w:spacing w:line="580" w:lineRule="exact"/>
        <w:ind w:firstLine="700" w:firstLineChars="200"/>
        <w:textAlignment w:val="auto"/>
        <w:rPr>
          <w:rFonts w:eastAsia="仿宋_GB2312"/>
          <w:snapToGrid w:val="0"/>
          <w:spacing w:val="15"/>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为进一步加强完善农村集体</w:t>
      </w:r>
      <w:r>
        <w:rPr>
          <w:rFonts w:hint="eastAsia" w:ascii="仿宋_GB2312" w:hAnsi="仿宋_GB2312" w:eastAsia="仿宋_GB2312" w:cs="仿宋_GB2312"/>
          <w:sz w:val="32"/>
          <w:szCs w:val="32"/>
          <w:lang w:eastAsia="zh-CN"/>
        </w:rPr>
        <w:t>资金资产资源（以下简称“三资”）</w:t>
      </w:r>
      <w:r>
        <w:rPr>
          <w:rFonts w:hint="eastAsia" w:ascii="仿宋_GB2312" w:hAnsi="仿宋_GB2312" w:eastAsia="仿宋_GB2312" w:cs="仿宋_GB2312"/>
          <w:sz w:val="32"/>
          <w:szCs w:val="32"/>
        </w:rPr>
        <w:t>监管体系建设，确保农村集体“三资”保值增值，维护农村集体经济组织和成员的合法权益，促进农村经济持续健康发展，</w:t>
      </w:r>
      <w:r>
        <w:rPr>
          <w:rFonts w:hint="eastAsia" w:ascii="仿宋_GB2312" w:hAnsi="仿宋_GB2312" w:eastAsia="仿宋_GB2312" w:cs="仿宋_GB2312"/>
          <w:sz w:val="32"/>
          <w:szCs w:val="32"/>
          <w:lang w:val="en-US" w:eastAsia="zh-CN"/>
        </w:rPr>
        <w:t>根据我县实际，</w:t>
      </w:r>
      <w:r>
        <w:rPr>
          <w:rFonts w:hint="eastAsia" w:ascii="仿宋_GB2312" w:hAnsi="仿宋_GB2312" w:eastAsia="仿宋_GB2312" w:cs="仿宋_GB2312"/>
          <w:sz w:val="32"/>
          <w:szCs w:val="32"/>
        </w:rPr>
        <w:t>特制定本</w:t>
      </w:r>
      <w:r>
        <w:rPr>
          <w:rFonts w:hint="eastAsia" w:ascii="仿宋_GB2312" w:hAnsi="仿宋_GB2312" w:eastAsia="仿宋_GB2312" w:cs="仿宋_GB2312"/>
          <w:sz w:val="32"/>
          <w:szCs w:val="32"/>
          <w:lang w:eastAsia="zh-CN"/>
        </w:rPr>
        <w:t>方案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00" w:firstLineChars="200"/>
        <w:jc w:val="both"/>
        <w:textAlignment w:val="auto"/>
        <w:rPr>
          <w:rFonts w:eastAsia="黑体"/>
          <w:snapToGrid w:val="0"/>
          <w:spacing w:val="15"/>
          <w:kern w:val="0"/>
          <w:sz w:val="32"/>
          <w:szCs w:val="32"/>
        </w:rPr>
      </w:pPr>
      <w:r>
        <w:rPr>
          <w:rFonts w:eastAsia="黑体"/>
          <w:snapToGrid w:val="0"/>
          <w:spacing w:val="15"/>
          <w:kern w:val="0"/>
          <w:sz w:val="32"/>
          <w:szCs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农村集体“三资”规范化管理为目标，在全面摸清“三资”底数的基础上，依托乡镇“三资”代理服务中心，着力构建农村集体“三资”监管工作新机制，实现全县农村集体“三资”监管全覆盖，保证农村集体“三资”存量科学使用、保值增值，为推动农村经济社会和谐发展提供坚实的基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00" w:firstLineChars="200"/>
        <w:jc w:val="both"/>
        <w:textAlignment w:val="auto"/>
        <w:rPr>
          <w:rFonts w:eastAsia="黑体"/>
          <w:snapToGrid w:val="0"/>
          <w:spacing w:val="15"/>
          <w:kern w:val="0"/>
          <w:sz w:val="32"/>
          <w:szCs w:val="32"/>
        </w:rPr>
      </w:pPr>
      <w:r>
        <w:rPr>
          <w:rFonts w:eastAsia="黑体"/>
          <w:snapToGrid w:val="0"/>
          <w:spacing w:val="15"/>
          <w:kern w:val="0"/>
          <w:sz w:val="32"/>
          <w:szCs w:val="32"/>
        </w:rPr>
        <w:t>二、工作原则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03" w:firstLineChars="200"/>
        <w:jc w:val="both"/>
        <w:textAlignment w:val="auto"/>
        <w:rPr>
          <w:rFonts w:hint="eastAsia" w:ascii="仿宋_GB2312" w:hAnsi="仿宋_GB2312" w:eastAsia="仿宋_GB2312" w:cs="仿宋_GB2312"/>
          <w:sz w:val="32"/>
          <w:szCs w:val="32"/>
        </w:rPr>
      </w:pPr>
      <w:r>
        <w:rPr>
          <w:rFonts w:eastAsia="楷体_GB2312"/>
          <w:b/>
          <w:bCs/>
          <w:snapToGrid w:val="0"/>
          <w:spacing w:val="15"/>
          <w:kern w:val="0"/>
          <w:sz w:val="32"/>
          <w:szCs w:val="32"/>
        </w:rPr>
        <w:t>（一）坚持主体不变的原则。</w:t>
      </w:r>
      <w:r>
        <w:rPr>
          <w:rFonts w:hint="eastAsia" w:ascii="仿宋_GB2312" w:hAnsi="仿宋_GB2312" w:eastAsia="仿宋_GB2312" w:cs="仿宋_GB2312"/>
          <w:sz w:val="32"/>
          <w:szCs w:val="32"/>
        </w:rPr>
        <w:t>村集体“三资”实行代理服务后，“三资”所有权、使用权和收益权的管理主体仍然是农村集体和农民群众，在运作合理、审核程序规范的基础上，乡镇“三资”代理服务中心应及时办理，任何组织和个人不准平调、借贷、挪用、侵占村集体资金、资产、资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03" w:firstLineChars="200"/>
        <w:jc w:val="both"/>
        <w:textAlignment w:val="auto"/>
        <w:rPr>
          <w:rFonts w:hint="eastAsia" w:ascii="仿宋_GB2312" w:hAnsi="仿宋_GB2312" w:eastAsia="仿宋_GB2312" w:cs="仿宋_GB2312"/>
          <w:sz w:val="32"/>
          <w:szCs w:val="32"/>
        </w:rPr>
      </w:pPr>
      <w:r>
        <w:rPr>
          <w:rFonts w:eastAsia="楷体_GB2312"/>
          <w:b/>
          <w:bCs/>
          <w:snapToGrid w:val="0"/>
          <w:spacing w:val="15"/>
          <w:kern w:val="0"/>
          <w:sz w:val="32"/>
          <w:szCs w:val="32"/>
        </w:rPr>
        <w:t>（二）坚持民主公开的原则。</w:t>
      </w:r>
      <w:r>
        <w:rPr>
          <w:rFonts w:hint="eastAsia" w:ascii="仿宋_GB2312" w:hAnsi="仿宋_GB2312" w:eastAsia="仿宋_GB2312" w:cs="仿宋_GB2312"/>
          <w:sz w:val="32"/>
          <w:szCs w:val="32"/>
        </w:rPr>
        <w:t>严格按照民主决策规程办事，突出民主管理，每项资金支出、资产下置、资源发包都要实行联签、会审、公示，群众广泛参与，全程跟踪监督，保证“三资”代理公开透明，彻底杜绝集体“三资”个人或个别部门说了算的问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03" w:firstLineChars="200"/>
        <w:jc w:val="both"/>
        <w:textAlignment w:val="auto"/>
        <w:rPr>
          <w:rFonts w:hint="eastAsia" w:ascii="仿宋_GB2312" w:hAnsi="仿宋_GB2312" w:eastAsia="仿宋_GB2312" w:cs="仿宋_GB2312"/>
          <w:sz w:val="32"/>
          <w:szCs w:val="32"/>
        </w:rPr>
      </w:pPr>
      <w:r>
        <w:rPr>
          <w:rFonts w:eastAsia="楷体_GB2312"/>
          <w:b/>
          <w:bCs/>
          <w:snapToGrid w:val="0"/>
          <w:spacing w:val="15"/>
          <w:kern w:val="0"/>
          <w:sz w:val="32"/>
          <w:szCs w:val="32"/>
        </w:rPr>
        <w:t>（三）坚持规范程序的原则。</w:t>
      </w:r>
      <w:r>
        <w:rPr>
          <w:rFonts w:hint="eastAsia" w:ascii="仿宋_GB2312" w:hAnsi="仿宋_GB2312" w:eastAsia="仿宋_GB2312" w:cs="仿宋_GB2312"/>
          <w:sz w:val="32"/>
          <w:szCs w:val="32"/>
        </w:rPr>
        <w:t>按照简便、实用、有效的原则，健全完善农村集体资金、资产和资源监管工作流程和各项规章制度，所有集体“三资”处置，发包和出售都要严格按照工作程序操作，依程序办事，实现“三资”管理的规范化和监督的全程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00" w:firstLineChars="200"/>
        <w:jc w:val="both"/>
        <w:textAlignment w:val="auto"/>
        <w:rPr>
          <w:rFonts w:eastAsia="黑体"/>
          <w:snapToGrid w:val="0"/>
          <w:spacing w:val="15"/>
          <w:kern w:val="0"/>
          <w:sz w:val="32"/>
          <w:szCs w:val="32"/>
        </w:rPr>
      </w:pPr>
      <w:r>
        <w:rPr>
          <w:rFonts w:eastAsia="黑体"/>
          <w:snapToGrid w:val="0"/>
          <w:spacing w:val="15"/>
          <w:kern w:val="0"/>
          <w:sz w:val="32"/>
          <w:szCs w:val="32"/>
        </w:rPr>
        <w:t>三、工作目标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开展以“清产核资，代理服务，登记入网，全程监督，盘活增效，促进发展”为主要内容的新型农村集体“三资”监管手段，顺应科技防腐新形势，逐步形成产权明晰、权责明确、经营高效、管理民主、监管到位的管理体制和经营机制，推动农村集体“三资”管理的科技化、制度化、规范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00" w:firstLineChars="200"/>
        <w:jc w:val="both"/>
        <w:textAlignment w:val="auto"/>
        <w:rPr>
          <w:rFonts w:eastAsia="黑体"/>
          <w:snapToGrid w:val="0"/>
          <w:spacing w:val="15"/>
          <w:kern w:val="0"/>
          <w:sz w:val="32"/>
          <w:szCs w:val="32"/>
        </w:rPr>
      </w:pPr>
      <w:r>
        <w:rPr>
          <w:rFonts w:eastAsia="黑体"/>
          <w:snapToGrid w:val="0"/>
          <w:spacing w:val="15"/>
          <w:kern w:val="0"/>
          <w:sz w:val="32"/>
          <w:szCs w:val="32"/>
        </w:rPr>
        <w:t>四、主要任务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snapToGrid w:val="0"/>
          <w:spacing w:val="15"/>
          <w:kern w:val="0"/>
          <w:sz w:val="32"/>
          <w:szCs w:val="32"/>
        </w:rPr>
      </w:pPr>
      <w:r>
        <w:rPr>
          <w:rFonts w:hint="eastAsia" w:ascii="仿宋_GB2312" w:hAnsi="仿宋_GB2312" w:eastAsia="仿宋_GB2312" w:cs="仿宋_GB2312"/>
          <w:sz w:val="32"/>
          <w:szCs w:val="32"/>
        </w:rPr>
        <w:t>农村集体“三资”监管工作的范围为全县</w:t>
      </w:r>
      <w:r>
        <w:rPr>
          <w:rFonts w:hint="eastAsia" w:ascii="仿宋_GB2312" w:hAnsi="仿宋_GB2312" w:eastAsia="仿宋_GB2312" w:cs="仿宋_GB2312"/>
          <w:sz w:val="32"/>
          <w:szCs w:val="32"/>
          <w:lang w:val="en-US" w:eastAsia="zh-CN"/>
        </w:rPr>
        <w:t>277</w:t>
      </w:r>
      <w:r>
        <w:rPr>
          <w:rFonts w:hint="eastAsia" w:ascii="仿宋_GB2312" w:hAnsi="仿宋_GB2312" w:eastAsia="仿宋_GB2312" w:cs="仿宋_GB2312"/>
          <w:sz w:val="32"/>
          <w:szCs w:val="32"/>
        </w:rPr>
        <w:t>个行政村的资金、资产、资源。实施工作共分为四个阶段</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703" w:firstLineChars="200"/>
        <w:jc w:val="both"/>
        <w:textAlignment w:val="auto"/>
        <w:rPr>
          <w:rFonts w:eastAsia="楷体_GB2312"/>
          <w:b/>
          <w:bCs/>
          <w:snapToGrid w:val="0"/>
          <w:spacing w:val="15"/>
          <w:kern w:val="0"/>
          <w:sz w:val="32"/>
          <w:szCs w:val="32"/>
        </w:rPr>
      </w:pPr>
      <w:r>
        <w:rPr>
          <w:rFonts w:hint="eastAsia" w:eastAsia="楷体_GB2312"/>
          <w:b/>
          <w:bCs/>
          <w:snapToGrid w:val="0"/>
          <w:spacing w:val="15"/>
          <w:kern w:val="0"/>
          <w:sz w:val="32"/>
          <w:szCs w:val="32"/>
          <w:lang w:eastAsia="zh-CN"/>
        </w:rPr>
        <w:t>（一）</w:t>
      </w:r>
      <w:r>
        <w:rPr>
          <w:rFonts w:eastAsia="楷体_GB2312"/>
          <w:b/>
          <w:bCs/>
          <w:snapToGrid w:val="0"/>
          <w:spacing w:val="15"/>
          <w:kern w:val="0"/>
          <w:sz w:val="32"/>
          <w:szCs w:val="32"/>
        </w:rPr>
        <w:t>前期准备阶段（201</w:t>
      </w:r>
      <w:r>
        <w:rPr>
          <w:rFonts w:hint="eastAsia" w:eastAsia="楷体_GB2312"/>
          <w:b/>
          <w:bCs/>
          <w:snapToGrid w:val="0"/>
          <w:spacing w:val="15"/>
          <w:kern w:val="0"/>
          <w:sz w:val="32"/>
          <w:szCs w:val="32"/>
          <w:lang w:val="en-US" w:eastAsia="zh-CN"/>
        </w:rPr>
        <w:t>7</w:t>
      </w:r>
      <w:r>
        <w:rPr>
          <w:rFonts w:eastAsia="楷体_GB2312"/>
          <w:b/>
          <w:bCs/>
          <w:snapToGrid w:val="0"/>
          <w:spacing w:val="15"/>
          <w:kern w:val="0"/>
          <w:sz w:val="32"/>
          <w:szCs w:val="32"/>
        </w:rPr>
        <w:t>年</w:t>
      </w:r>
      <w:r>
        <w:rPr>
          <w:rFonts w:hint="eastAsia" w:eastAsia="楷体_GB2312"/>
          <w:b/>
          <w:bCs/>
          <w:snapToGrid w:val="0"/>
          <w:spacing w:val="15"/>
          <w:kern w:val="0"/>
          <w:sz w:val="32"/>
          <w:szCs w:val="32"/>
          <w:lang w:val="en-US" w:eastAsia="zh-CN"/>
        </w:rPr>
        <w:t>11</w:t>
      </w:r>
      <w:r>
        <w:rPr>
          <w:rFonts w:eastAsia="楷体_GB2312"/>
          <w:b/>
          <w:bCs/>
          <w:snapToGrid w:val="0"/>
          <w:spacing w:val="15"/>
          <w:kern w:val="0"/>
          <w:sz w:val="32"/>
          <w:szCs w:val="32"/>
        </w:rPr>
        <w:t>月1</w:t>
      </w:r>
      <w:r>
        <w:rPr>
          <w:rFonts w:hint="eastAsia" w:eastAsia="楷体_GB2312"/>
          <w:b/>
          <w:bCs/>
          <w:snapToGrid w:val="0"/>
          <w:spacing w:val="15"/>
          <w:kern w:val="0"/>
          <w:sz w:val="32"/>
          <w:szCs w:val="32"/>
          <w:lang w:val="en-US" w:eastAsia="zh-CN"/>
        </w:rPr>
        <w:t>0</w:t>
      </w:r>
      <w:r>
        <w:rPr>
          <w:rFonts w:eastAsia="楷体_GB2312"/>
          <w:b/>
          <w:bCs/>
          <w:snapToGrid w:val="0"/>
          <w:spacing w:val="15"/>
          <w:kern w:val="0"/>
          <w:sz w:val="32"/>
          <w:szCs w:val="32"/>
        </w:rPr>
        <w:t>日</w:t>
      </w:r>
      <w:r>
        <w:rPr>
          <w:rFonts w:hint="eastAsia" w:eastAsia="楷体_GB2312"/>
          <w:b/>
          <w:bCs/>
          <w:snapToGrid w:val="0"/>
          <w:spacing w:val="15"/>
          <w:kern w:val="0"/>
          <w:sz w:val="32"/>
          <w:szCs w:val="32"/>
          <w:lang w:eastAsia="zh-CN"/>
        </w:rPr>
        <w:t>前</w:t>
      </w:r>
      <w:r>
        <w:rPr>
          <w:rFonts w:eastAsia="楷体_GB2312"/>
          <w:b/>
          <w:bCs/>
          <w:snapToGrid w:val="0"/>
          <w:spacing w:val="15"/>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成立监管机构。在原建立的农村会计委托代理服务中心的基础上，建立农村集体“三资”监管中心，具体负责农村集体“三资”监督管理，同时依托县产权交易服务中心建立乡镇农村项目竞标服务中心，具体负责指导监督农村各类项目竞标招标活动，监督签订农村经济合同、调解农村经济合同纠纷等工作，形成“三位一体”的工作模式。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snapToGrid w:val="0"/>
          <w:spacing w:val="15"/>
          <w:kern w:val="0"/>
          <w:sz w:val="32"/>
          <w:szCs w:val="32"/>
        </w:rPr>
      </w:pPr>
      <w:r>
        <w:rPr>
          <w:rFonts w:hint="eastAsia" w:ascii="仿宋_GB2312" w:hAnsi="仿宋_GB2312" w:eastAsia="仿宋_GB2312" w:cs="仿宋_GB2312"/>
          <w:sz w:val="32"/>
          <w:szCs w:val="32"/>
        </w:rPr>
        <w:t>2、广泛宣传发动。县乡两级召开由村两委负责人和相关部门负责人参加的动员大会，</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rPr>
        <w:t>实施方案，部署农村集体资金资产资源监督管理工作。各村也要组织召开由村两委干部、党员、民主理财小组和村民代表参加的会议，广泛宣传农村集体“三资”监督管理工作的重要意义，使全县上下深入了解农村集体“三资”监督管理的指导思想、目标原则、 监管范围、监管措施、实施步骤和工作要求，从而统一思想，提高认识，取得广大干部群众对加强农村集体“三资”监督管理工作的支持和配合</w:t>
      </w:r>
      <w:r>
        <w:rPr>
          <w:rFonts w:eastAsia="仿宋_GB2312"/>
          <w:snapToGrid w:val="0"/>
          <w:spacing w:val="15"/>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03" w:firstLineChars="200"/>
        <w:jc w:val="both"/>
        <w:textAlignment w:val="auto"/>
        <w:rPr>
          <w:rFonts w:eastAsia="楷体_GB2312"/>
          <w:b/>
          <w:bCs/>
          <w:snapToGrid w:val="0"/>
          <w:spacing w:val="15"/>
          <w:kern w:val="0"/>
          <w:sz w:val="32"/>
          <w:szCs w:val="32"/>
        </w:rPr>
      </w:pPr>
      <w:r>
        <w:rPr>
          <w:rFonts w:eastAsia="楷体_GB2312"/>
          <w:b/>
          <w:bCs/>
          <w:snapToGrid w:val="0"/>
          <w:spacing w:val="15"/>
          <w:kern w:val="0"/>
          <w:sz w:val="32"/>
          <w:szCs w:val="32"/>
        </w:rPr>
        <w:t>（二）清理整顿阶段（201</w:t>
      </w:r>
      <w:r>
        <w:rPr>
          <w:rFonts w:hint="eastAsia" w:eastAsia="楷体_GB2312"/>
          <w:b/>
          <w:bCs/>
          <w:snapToGrid w:val="0"/>
          <w:spacing w:val="15"/>
          <w:kern w:val="0"/>
          <w:sz w:val="32"/>
          <w:szCs w:val="32"/>
          <w:lang w:val="en-US" w:eastAsia="zh-CN"/>
        </w:rPr>
        <w:t>7</w:t>
      </w:r>
      <w:r>
        <w:rPr>
          <w:rFonts w:eastAsia="楷体_GB2312"/>
          <w:b/>
          <w:bCs/>
          <w:snapToGrid w:val="0"/>
          <w:spacing w:val="15"/>
          <w:kern w:val="0"/>
          <w:sz w:val="32"/>
          <w:szCs w:val="32"/>
        </w:rPr>
        <w:t>年</w:t>
      </w:r>
      <w:r>
        <w:rPr>
          <w:rFonts w:hint="eastAsia" w:eastAsia="楷体_GB2312"/>
          <w:b/>
          <w:bCs/>
          <w:snapToGrid w:val="0"/>
          <w:spacing w:val="15"/>
          <w:kern w:val="0"/>
          <w:sz w:val="32"/>
          <w:szCs w:val="32"/>
          <w:lang w:val="en-US" w:eastAsia="zh-CN"/>
        </w:rPr>
        <w:t>11</w:t>
      </w:r>
      <w:r>
        <w:rPr>
          <w:rFonts w:eastAsia="楷体_GB2312"/>
          <w:b/>
          <w:bCs/>
          <w:snapToGrid w:val="0"/>
          <w:spacing w:val="15"/>
          <w:kern w:val="0"/>
          <w:sz w:val="32"/>
          <w:szCs w:val="32"/>
        </w:rPr>
        <w:t>月</w:t>
      </w:r>
      <w:r>
        <w:rPr>
          <w:rFonts w:hint="eastAsia" w:eastAsia="楷体_GB2312"/>
          <w:b/>
          <w:bCs/>
          <w:snapToGrid w:val="0"/>
          <w:spacing w:val="15"/>
          <w:kern w:val="0"/>
          <w:sz w:val="32"/>
          <w:szCs w:val="32"/>
          <w:lang w:val="en-US" w:eastAsia="zh-CN"/>
        </w:rPr>
        <w:t>11</w:t>
      </w:r>
      <w:r>
        <w:rPr>
          <w:rFonts w:eastAsia="楷体_GB2312"/>
          <w:b/>
          <w:bCs/>
          <w:snapToGrid w:val="0"/>
          <w:spacing w:val="15"/>
          <w:kern w:val="0"/>
          <w:sz w:val="32"/>
          <w:szCs w:val="32"/>
        </w:rPr>
        <w:t>日至201</w:t>
      </w:r>
      <w:r>
        <w:rPr>
          <w:rFonts w:hint="eastAsia" w:eastAsia="楷体_GB2312"/>
          <w:b/>
          <w:bCs/>
          <w:snapToGrid w:val="0"/>
          <w:spacing w:val="15"/>
          <w:kern w:val="0"/>
          <w:sz w:val="32"/>
          <w:szCs w:val="32"/>
          <w:lang w:val="en-US" w:eastAsia="zh-CN"/>
        </w:rPr>
        <w:t>7</w:t>
      </w:r>
      <w:r>
        <w:rPr>
          <w:rFonts w:eastAsia="楷体_GB2312"/>
          <w:b/>
          <w:bCs/>
          <w:snapToGrid w:val="0"/>
          <w:spacing w:val="15"/>
          <w:kern w:val="0"/>
          <w:sz w:val="32"/>
          <w:szCs w:val="32"/>
        </w:rPr>
        <w:t>年</w:t>
      </w:r>
      <w:r>
        <w:rPr>
          <w:rFonts w:hint="eastAsia" w:eastAsia="楷体_GB2312"/>
          <w:b/>
          <w:bCs/>
          <w:snapToGrid w:val="0"/>
          <w:spacing w:val="15"/>
          <w:kern w:val="0"/>
          <w:sz w:val="32"/>
          <w:szCs w:val="32"/>
          <w:lang w:val="en-US" w:eastAsia="zh-CN"/>
        </w:rPr>
        <w:t>12</w:t>
      </w:r>
      <w:r>
        <w:rPr>
          <w:rFonts w:eastAsia="楷体_GB2312"/>
          <w:b/>
          <w:bCs/>
          <w:snapToGrid w:val="0"/>
          <w:spacing w:val="15"/>
          <w:kern w:val="0"/>
          <w:sz w:val="32"/>
          <w:szCs w:val="32"/>
        </w:rPr>
        <w:t>月</w:t>
      </w:r>
      <w:r>
        <w:rPr>
          <w:rFonts w:hint="eastAsia" w:eastAsia="楷体_GB2312"/>
          <w:b/>
          <w:bCs/>
          <w:snapToGrid w:val="0"/>
          <w:spacing w:val="15"/>
          <w:kern w:val="0"/>
          <w:sz w:val="32"/>
          <w:szCs w:val="32"/>
          <w:lang w:val="en-US" w:eastAsia="zh-CN"/>
        </w:rPr>
        <w:t>31</w:t>
      </w:r>
      <w:r>
        <w:rPr>
          <w:rFonts w:eastAsia="楷体_GB2312"/>
          <w:b/>
          <w:bCs/>
          <w:snapToGrid w:val="0"/>
          <w:spacing w:val="15"/>
          <w:kern w:val="0"/>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清查摸底。各村要成立由村两委干部、民主理财小组成员和村民代表参加的清查小组，各村委会根据会计提供的集体资产资源发包租赁合同及其它相关资料，采取帐实核对、实地勘查、内查外调、合同清理等方法，对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日前的归村、组所有的账内和账外资金、资产、资源和债权债务逐一进行清查，清查结束后，填制资金、资产、资源和债权债务清查表。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整改处理问题。（1）清查结束后，要按照“谁投资、谁所有”的原则，依法界定权属，明晰所有权。存在争议的，要协商解决，协商不成的，通过司法程序解决。（2）对清查发现的盘盈或盘亏，清查小组要查明原因，提出处理意见，予以纠正。（3）对已处置的资产、资源，重点审核合同是否合理合法，要件是否齐全规范，承包金或租金是否及时上缴。对于不规范的合同，要在与对方充分协商的基础上，通过签订补充协议加以完善；对于违反政策法规和不按合同规定执行及显失公正的经济合同，要通过法定程序予以变更、撤销或解除。已被拖欠的承包金或租金要组织力量依法进行追讨清收，对于限期拒不缴纳承包金或租金的，视为违约，解除合同，收回农村集体资产和资源。（4）对未经合法程序，擅自占用集体资产、资源的单位和个人，要责令其停止侵权，然后依据有关规定妥善处理。（5）张榜公示。各村要通过公开栏等形式，将清查表和问题处理情况如实向群众公示，接受群众监督。公示期为7天，公示期无疑议的，报镇农村集体“三资”监管中心审核。（6）审核。镇农村集体“三资”监管中心对村上报的清查表和问题处理意见进行审核，重点审核清查程序是否符合规定，相关责任人是否在清查表上签字，有无公示资料等。（7）建立资产、资源台账，进行初始产权登记。对经审核通过的清查摸底结果，镇农村集体“三资”监管中心以行政村为单位建立农村集体资产、资源台账，对村集体所有的资产、资源进行初始产权登记。(8)调整账簿。根据村里上报的盘盈、盘亏和清查出的账外资产的处理意见，乡镇“三资”委托代理服务中心和各村委会要按照有关规定调整相关账簿，以做到账实相符。盘盈和清查出的的账外资产，应按重估价值进行核算，通过增加公积公益金处理。盘亏的资产，应冲减公积公益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03" w:firstLineChars="200"/>
        <w:jc w:val="both"/>
        <w:textAlignment w:val="auto"/>
        <w:rPr>
          <w:rFonts w:eastAsia="楷体_GB2312"/>
          <w:b/>
          <w:bCs/>
          <w:snapToGrid w:val="0"/>
          <w:spacing w:val="15"/>
          <w:kern w:val="0"/>
          <w:sz w:val="32"/>
          <w:szCs w:val="32"/>
        </w:rPr>
      </w:pPr>
      <w:r>
        <w:rPr>
          <w:rFonts w:eastAsia="楷体_GB2312"/>
          <w:b/>
          <w:bCs/>
          <w:snapToGrid w:val="0"/>
          <w:spacing w:val="15"/>
          <w:kern w:val="0"/>
          <w:sz w:val="32"/>
          <w:szCs w:val="32"/>
        </w:rPr>
        <w:t>（三）网络建设阶段（201</w:t>
      </w:r>
      <w:r>
        <w:rPr>
          <w:rFonts w:hint="eastAsia" w:eastAsia="楷体_GB2312"/>
          <w:b/>
          <w:bCs/>
          <w:snapToGrid w:val="0"/>
          <w:spacing w:val="15"/>
          <w:kern w:val="0"/>
          <w:sz w:val="32"/>
          <w:szCs w:val="32"/>
          <w:lang w:val="en-US" w:eastAsia="zh-CN"/>
        </w:rPr>
        <w:t>8</w:t>
      </w:r>
      <w:r>
        <w:rPr>
          <w:rFonts w:eastAsia="楷体_GB2312"/>
          <w:b/>
          <w:bCs/>
          <w:snapToGrid w:val="0"/>
          <w:spacing w:val="15"/>
          <w:kern w:val="0"/>
          <w:sz w:val="32"/>
          <w:szCs w:val="32"/>
        </w:rPr>
        <w:t>年</w:t>
      </w:r>
      <w:r>
        <w:rPr>
          <w:rFonts w:hint="eastAsia" w:eastAsia="楷体_GB2312"/>
          <w:b/>
          <w:bCs/>
          <w:snapToGrid w:val="0"/>
          <w:spacing w:val="15"/>
          <w:kern w:val="0"/>
          <w:sz w:val="32"/>
          <w:szCs w:val="32"/>
          <w:lang w:val="en-US" w:eastAsia="zh-CN"/>
        </w:rPr>
        <w:t>1</w:t>
      </w:r>
      <w:r>
        <w:rPr>
          <w:rFonts w:eastAsia="楷体_GB2312"/>
          <w:b/>
          <w:bCs/>
          <w:snapToGrid w:val="0"/>
          <w:spacing w:val="15"/>
          <w:kern w:val="0"/>
          <w:sz w:val="32"/>
          <w:szCs w:val="32"/>
        </w:rPr>
        <w:t>月</w:t>
      </w:r>
      <w:r>
        <w:rPr>
          <w:rFonts w:hint="eastAsia" w:eastAsia="楷体_GB2312"/>
          <w:b/>
          <w:bCs/>
          <w:snapToGrid w:val="0"/>
          <w:spacing w:val="15"/>
          <w:kern w:val="0"/>
          <w:sz w:val="32"/>
          <w:szCs w:val="32"/>
          <w:lang w:val="en-US" w:eastAsia="zh-CN"/>
        </w:rPr>
        <w:t>1</w:t>
      </w:r>
      <w:r>
        <w:rPr>
          <w:rFonts w:eastAsia="楷体_GB2312"/>
          <w:b/>
          <w:bCs/>
          <w:snapToGrid w:val="0"/>
          <w:spacing w:val="15"/>
          <w:kern w:val="0"/>
          <w:sz w:val="32"/>
          <w:szCs w:val="32"/>
        </w:rPr>
        <w:t>日至201</w:t>
      </w:r>
      <w:r>
        <w:rPr>
          <w:rFonts w:hint="eastAsia" w:eastAsia="楷体_GB2312"/>
          <w:b/>
          <w:bCs/>
          <w:snapToGrid w:val="0"/>
          <w:spacing w:val="15"/>
          <w:kern w:val="0"/>
          <w:sz w:val="32"/>
          <w:szCs w:val="32"/>
          <w:lang w:val="en-US" w:eastAsia="zh-CN"/>
        </w:rPr>
        <w:t>8</w:t>
      </w:r>
      <w:r>
        <w:rPr>
          <w:rFonts w:eastAsia="楷体_GB2312"/>
          <w:b/>
          <w:bCs/>
          <w:snapToGrid w:val="0"/>
          <w:spacing w:val="15"/>
          <w:kern w:val="0"/>
          <w:sz w:val="32"/>
          <w:szCs w:val="32"/>
        </w:rPr>
        <w:t>年</w:t>
      </w:r>
      <w:r>
        <w:rPr>
          <w:rFonts w:hint="eastAsia" w:eastAsia="楷体_GB2312"/>
          <w:b/>
          <w:bCs/>
          <w:snapToGrid w:val="0"/>
          <w:spacing w:val="15"/>
          <w:kern w:val="0"/>
          <w:sz w:val="32"/>
          <w:szCs w:val="32"/>
          <w:lang w:val="en-US" w:eastAsia="zh-CN"/>
        </w:rPr>
        <w:t>2</w:t>
      </w:r>
      <w:r>
        <w:rPr>
          <w:rFonts w:eastAsia="楷体_GB2312"/>
          <w:b/>
          <w:bCs/>
          <w:snapToGrid w:val="0"/>
          <w:spacing w:val="15"/>
          <w:kern w:val="0"/>
          <w:sz w:val="32"/>
          <w:szCs w:val="32"/>
        </w:rPr>
        <w:t>月28日）。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建立覆盖全县所有县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乡、村</w:t>
      </w:r>
      <w:r>
        <w:rPr>
          <w:rFonts w:hint="eastAsia" w:ascii="仿宋_GB2312" w:hAnsi="仿宋_GB2312" w:eastAsia="仿宋_GB2312" w:cs="仿宋_GB2312"/>
          <w:sz w:val="32"/>
          <w:szCs w:val="32"/>
          <w:lang w:eastAsia="zh-CN"/>
        </w:rPr>
        <w:t>三级</w:t>
      </w:r>
      <w:r>
        <w:rPr>
          <w:rFonts w:hint="eastAsia" w:ascii="仿宋_GB2312" w:hAnsi="仿宋_GB2312" w:eastAsia="仿宋_GB2312" w:cs="仿宋_GB2312"/>
          <w:sz w:val="32"/>
          <w:szCs w:val="32"/>
        </w:rPr>
        <w:t>监管网络，融合资金管理、资产管理、资源管理、合同管理、流程管理、报表分析、预警提醒、网络公开等八大功能于一体的农村集体“三资”监管网络平台，确保农村集体“三资”管理及运行情况实时查询、实时分析、实时监管，实现以制度建设为根本，以科技手段为支撑的“制度＋科技”农村集体“三资”监管工作新模式，从源头上有效预防和遏制腐败现象的发生，并将需要公开的信息，通过“农经信息化管理服务平台”系统向集体组织成员公开，最终实现农村集体“三资”管理及运行情况的实时查询、实时分析、实时监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03" w:firstLineChars="200"/>
        <w:jc w:val="both"/>
        <w:textAlignment w:val="auto"/>
        <w:rPr>
          <w:rFonts w:eastAsia="楷体_GB2312"/>
          <w:b/>
          <w:bCs/>
          <w:snapToGrid w:val="0"/>
          <w:spacing w:val="15"/>
          <w:kern w:val="0"/>
          <w:sz w:val="32"/>
          <w:szCs w:val="32"/>
        </w:rPr>
      </w:pPr>
      <w:r>
        <w:rPr>
          <w:rFonts w:hint="eastAsia" w:eastAsia="仿宋_GB2312"/>
          <w:b/>
          <w:bCs/>
          <w:snapToGrid w:val="0"/>
          <w:spacing w:val="15"/>
          <w:kern w:val="0"/>
          <w:sz w:val="32"/>
          <w:szCs w:val="32"/>
          <w:lang w:eastAsia="zh-CN"/>
        </w:rPr>
        <w:t>（四）</w:t>
      </w:r>
      <w:r>
        <w:rPr>
          <w:rFonts w:eastAsia="楷体_GB2312"/>
          <w:b/>
          <w:bCs/>
          <w:snapToGrid w:val="0"/>
          <w:spacing w:val="15"/>
          <w:kern w:val="0"/>
          <w:sz w:val="32"/>
          <w:szCs w:val="32"/>
        </w:rPr>
        <w:t>建章立制阶段（201</w:t>
      </w:r>
      <w:r>
        <w:rPr>
          <w:rFonts w:hint="eastAsia" w:eastAsia="楷体_GB2312"/>
          <w:b/>
          <w:bCs/>
          <w:snapToGrid w:val="0"/>
          <w:spacing w:val="15"/>
          <w:kern w:val="0"/>
          <w:sz w:val="32"/>
          <w:szCs w:val="32"/>
          <w:lang w:val="en-US" w:eastAsia="zh-CN"/>
        </w:rPr>
        <w:t>8</w:t>
      </w:r>
      <w:r>
        <w:rPr>
          <w:rFonts w:eastAsia="楷体_GB2312"/>
          <w:b/>
          <w:bCs/>
          <w:snapToGrid w:val="0"/>
          <w:spacing w:val="15"/>
          <w:kern w:val="0"/>
          <w:sz w:val="32"/>
          <w:szCs w:val="32"/>
        </w:rPr>
        <w:t>年</w:t>
      </w:r>
      <w:r>
        <w:rPr>
          <w:rFonts w:hint="eastAsia" w:eastAsia="楷体_GB2312"/>
          <w:b/>
          <w:bCs/>
          <w:snapToGrid w:val="0"/>
          <w:spacing w:val="15"/>
          <w:kern w:val="0"/>
          <w:sz w:val="32"/>
          <w:szCs w:val="32"/>
          <w:lang w:val="en-US" w:eastAsia="zh-CN"/>
        </w:rPr>
        <w:t>3</w:t>
      </w:r>
      <w:r>
        <w:rPr>
          <w:rFonts w:eastAsia="楷体_GB2312"/>
          <w:b/>
          <w:bCs/>
          <w:snapToGrid w:val="0"/>
          <w:spacing w:val="15"/>
          <w:kern w:val="0"/>
          <w:sz w:val="32"/>
          <w:szCs w:val="32"/>
        </w:rPr>
        <w:t>月</w:t>
      </w:r>
      <w:r>
        <w:rPr>
          <w:rFonts w:hint="eastAsia" w:eastAsia="楷体_GB2312"/>
          <w:b/>
          <w:bCs/>
          <w:snapToGrid w:val="0"/>
          <w:spacing w:val="15"/>
          <w:kern w:val="0"/>
          <w:sz w:val="32"/>
          <w:szCs w:val="32"/>
          <w:lang w:val="en-US" w:eastAsia="zh-CN"/>
        </w:rPr>
        <w:t>1</w:t>
      </w:r>
      <w:r>
        <w:rPr>
          <w:rFonts w:eastAsia="楷体_GB2312"/>
          <w:b/>
          <w:bCs/>
          <w:snapToGrid w:val="0"/>
          <w:spacing w:val="15"/>
          <w:kern w:val="0"/>
          <w:sz w:val="32"/>
          <w:szCs w:val="32"/>
        </w:rPr>
        <w:t>日至201</w:t>
      </w:r>
      <w:r>
        <w:rPr>
          <w:rFonts w:hint="eastAsia" w:eastAsia="楷体_GB2312"/>
          <w:b/>
          <w:bCs/>
          <w:snapToGrid w:val="0"/>
          <w:spacing w:val="15"/>
          <w:kern w:val="0"/>
          <w:sz w:val="32"/>
          <w:szCs w:val="32"/>
          <w:lang w:val="en-US" w:eastAsia="zh-CN"/>
        </w:rPr>
        <w:t>8</w:t>
      </w:r>
      <w:r>
        <w:rPr>
          <w:rFonts w:eastAsia="楷体_GB2312"/>
          <w:b/>
          <w:bCs/>
          <w:snapToGrid w:val="0"/>
          <w:spacing w:val="15"/>
          <w:kern w:val="0"/>
          <w:sz w:val="32"/>
          <w:szCs w:val="32"/>
        </w:rPr>
        <w:t>年</w:t>
      </w:r>
      <w:r>
        <w:rPr>
          <w:rFonts w:hint="eastAsia" w:eastAsia="楷体_GB2312"/>
          <w:b/>
          <w:bCs/>
          <w:snapToGrid w:val="0"/>
          <w:spacing w:val="15"/>
          <w:kern w:val="0"/>
          <w:sz w:val="32"/>
          <w:szCs w:val="32"/>
          <w:lang w:val="en-US" w:eastAsia="zh-CN"/>
        </w:rPr>
        <w:t>4</w:t>
      </w:r>
      <w:r>
        <w:rPr>
          <w:rFonts w:eastAsia="楷体_GB2312"/>
          <w:b/>
          <w:bCs/>
          <w:snapToGrid w:val="0"/>
          <w:spacing w:val="15"/>
          <w:kern w:val="0"/>
          <w:sz w:val="32"/>
          <w:szCs w:val="32"/>
        </w:rPr>
        <w:t>月</w:t>
      </w:r>
      <w:r>
        <w:rPr>
          <w:rFonts w:hint="eastAsia" w:eastAsia="楷体_GB2312"/>
          <w:b/>
          <w:bCs/>
          <w:snapToGrid w:val="0"/>
          <w:spacing w:val="15"/>
          <w:kern w:val="0"/>
          <w:sz w:val="32"/>
          <w:szCs w:val="32"/>
          <w:lang w:val="en-US" w:eastAsia="zh-CN"/>
        </w:rPr>
        <w:t>30</w:t>
      </w:r>
      <w:r>
        <w:rPr>
          <w:rFonts w:eastAsia="楷体_GB2312"/>
          <w:b/>
          <w:bCs/>
          <w:snapToGrid w:val="0"/>
          <w:spacing w:val="15"/>
          <w:kern w:val="0"/>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继续执行《关于加强农村财务管理的若干规定》，加强农村集体资金管理基础上，制定农村集体资产资源监管制度，构筑农村集体“三资”监管的长效机制。一是进一步完善乡镇农村三资委托代理机制，严格执行农村集体“三资”政策规章制度，认真落实会计核算、收款收据领用、收支两条线、非生产性开支定额管理、资金申请审批、限时报账等制度，强化对村集体资金的监管。二是建立村集体经济组织内部三资管理控制机制，重点是建立资产资源清查登记备案、评估、处置、内部管理等制度，强化对村集体资产资源的监管。三是加强合同监管。集体资产、资源清查摸底、造册登记后，重在今后的规范管理，因此，各村对集体资产资源的承包、租赁和农村工程项目建设等，要依据有关法律签订书面合同，并明确标的、履行合同责任、承包金、租赁费的交纳方式等，所有合同必须经县产权交易服务中心审核，同时村委会、承包（租赁者）、产权交易中心存档备案。四是加快推进农村集体“三资”监管网络化平台建设，乡镇村账代理会计在录入会计凭证后，还要将所有的原始票据、经济合同等资料扫描到“三资”监管系统；同时建立村级资产、资源状况卡片登记簿，将实物情况及租赁合同拍照录入软件系统，各村村民通过各乡镇触控一体机随时查看村级财务公开表和相关业务的原始票据，县乡两级管理人员通过电脑监管客户端随时查看各村的财务收支、资产租赁和原始票据真实情况，实现对农村集体“三资”的实时预警监督和审查审计，有效防止对农村集体经济的“暗箱操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00" w:firstLineChars="200"/>
        <w:jc w:val="both"/>
        <w:textAlignment w:val="auto"/>
        <w:rPr>
          <w:rFonts w:eastAsia="黑体"/>
          <w:snapToGrid w:val="0"/>
          <w:spacing w:val="15"/>
          <w:kern w:val="0"/>
          <w:sz w:val="32"/>
          <w:szCs w:val="32"/>
        </w:rPr>
      </w:pPr>
      <w:r>
        <w:rPr>
          <w:rFonts w:eastAsia="黑体"/>
          <w:snapToGrid w:val="0"/>
          <w:spacing w:val="15"/>
          <w:kern w:val="0"/>
          <w:sz w:val="32"/>
          <w:szCs w:val="32"/>
        </w:rPr>
        <w:t>五、监管措施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03" w:firstLineChars="200"/>
        <w:jc w:val="both"/>
        <w:textAlignment w:val="auto"/>
        <w:rPr>
          <w:rFonts w:eastAsia="仿宋_GB2312"/>
          <w:snapToGrid w:val="0"/>
          <w:spacing w:val="15"/>
          <w:kern w:val="0"/>
          <w:sz w:val="32"/>
          <w:szCs w:val="32"/>
        </w:rPr>
      </w:pPr>
      <w:r>
        <w:rPr>
          <w:rFonts w:eastAsia="楷体_GB2312"/>
          <w:b/>
          <w:bCs/>
          <w:snapToGrid w:val="0"/>
          <w:spacing w:val="15"/>
          <w:kern w:val="0"/>
          <w:sz w:val="32"/>
          <w:szCs w:val="32"/>
        </w:rPr>
        <w:t>（一）加强组织领导。</w:t>
      </w:r>
      <w:r>
        <w:rPr>
          <w:rFonts w:hint="eastAsia" w:ascii="仿宋_GB2312" w:hAnsi="仿宋_GB2312" w:eastAsia="仿宋_GB2312" w:cs="仿宋_GB2312"/>
          <w:sz w:val="32"/>
          <w:szCs w:val="32"/>
        </w:rPr>
        <w:t>农村集体“三资”监督管理工作是一项系统工程，也是一项长期任务，涉及面广，政策性强、情况复杂、难度较大。各乡镇要高度重视，把这项工作摆上重要议事日程，周密部署，精心实施。为确保此项工作扎实有效的开展，各乡镇政府要成立以乡镇长任组长，纪委书记、分管领导任副组长，有关单位负责人为成员的农村集体“三资”监督管理工作领导小组，领导小组下设办公室，办公室设在乡镇经管中心，具体负责农村集体“三资”监督管理的日常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03" w:firstLineChars="200"/>
        <w:jc w:val="both"/>
        <w:textAlignment w:val="auto"/>
        <w:rPr>
          <w:rFonts w:hint="eastAsia" w:ascii="仿宋_GB2312" w:hAnsi="仿宋_GB2312" w:eastAsia="仿宋_GB2312" w:cs="仿宋_GB2312"/>
          <w:sz w:val="32"/>
          <w:szCs w:val="32"/>
        </w:rPr>
      </w:pPr>
      <w:r>
        <w:rPr>
          <w:rFonts w:eastAsia="楷体_GB2312"/>
          <w:b/>
          <w:bCs/>
          <w:snapToGrid w:val="0"/>
          <w:spacing w:val="15"/>
          <w:kern w:val="0"/>
          <w:sz w:val="32"/>
          <w:szCs w:val="32"/>
        </w:rPr>
        <w:t>（二）明晰工作思路。</w:t>
      </w:r>
      <w:r>
        <w:rPr>
          <w:rFonts w:hint="eastAsia" w:ascii="仿宋_GB2312" w:hAnsi="仿宋_GB2312" w:eastAsia="仿宋_GB2312" w:cs="仿宋_GB2312"/>
          <w:sz w:val="32"/>
          <w:szCs w:val="32"/>
        </w:rPr>
        <w:t>全县农村集体“三资”监督管理工作，要本着明确重点，全面推进；把握政策，宽严相济；认真清资，民主监督的工作原则，既要核清我镇农村集体“三资”的底数，纠正农村集体“三资”管理中的漏洞和问题，确保强农惠农政策落到实处，又要建章立制，建立健全农村集体“三资”监管的长效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03" w:firstLineChars="200"/>
        <w:jc w:val="both"/>
        <w:textAlignment w:val="auto"/>
        <w:rPr>
          <w:rFonts w:hint="eastAsia" w:ascii="仿宋_GB2312" w:hAnsi="仿宋_GB2312" w:eastAsia="仿宋_GB2312" w:cs="仿宋_GB2312"/>
          <w:sz w:val="32"/>
          <w:szCs w:val="32"/>
        </w:rPr>
      </w:pPr>
      <w:r>
        <w:rPr>
          <w:rFonts w:eastAsia="楷体_GB2312"/>
          <w:b/>
          <w:bCs/>
          <w:snapToGrid w:val="0"/>
          <w:spacing w:val="15"/>
          <w:kern w:val="0"/>
          <w:sz w:val="32"/>
          <w:szCs w:val="32"/>
        </w:rPr>
        <w:t>（三）严肃工作纪律。</w:t>
      </w:r>
      <w:r>
        <w:rPr>
          <w:rFonts w:hint="eastAsia" w:ascii="仿宋_GB2312" w:hAnsi="仿宋_GB2312" w:eastAsia="仿宋_GB2312" w:cs="仿宋_GB2312"/>
          <w:sz w:val="32"/>
          <w:szCs w:val="32"/>
        </w:rPr>
        <w:t>要切实加强对工作推行过程的跟踪监督，对可能出现的一些倾向性、苗头性问题要早敲警钟，防微杜渐，及时纠正。要严肃工作纪律，对侵占挪用集体财物、违反规定擅自处置资产资源、监管人员失职失管等行为，要根据有关规定严肃追究相关责任人的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03" w:firstLineChars="200"/>
        <w:jc w:val="both"/>
        <w:textAlignment w:val="auto"/>
        <w:rPr>
          <w:rFonts w:hint="eastAsia" w:ascii="仿宋_GB2312" w:hAnsi="仿宋_GB2312" w:eastAsia="仿宋_GB2312" w:cs="仿宋_GB2312"/>
          <w:sz w:val="32"/>
          <w:szCs w:val="32"/>
        </w:rPr>
      </w:pPr>
      <w:r>
        <w:rPr>
          <w:rFonts w:eastAsia="楷体_GB2312"/>
          <w:b/>
          <w:bCs/>
          <w:snapToGrid w:val="0"/>
          <w:spacing w:val="15"/>
          <w:kern w:val="0"/>
          <w:sz w:val="32"/>
          <w:szCs w:val="32"/>
        </w:rPr>
        <w:t>（四）加大督导力度。</w:t>
      </w:r>
      <w:r>
        <w:rPr>
          <w:rFonts w:hint="eastAsia" w:ascii="仿宋_GB2312" w:hAnsi="仿宋_GB2312" w:eastAsia="仿宋_GB2312" w:cs="仿宋_GB2312"/>
          <w:sz w:val="32"/>
          <w:szCs w:val="32"/>
        </w:rPr>
        <w:t>要从实际出发，因地制宜，加强政策及业务指导，正确处理加强农村集体“三资”监督管理与维护村民民主权益、经济利益的关系，准确把握资产资源清查、产权登记界定、处置等有关政策规定和工作原则，及时解决工作中出现的新情况和新问题。要强化服务意识，有效引导村集体强化经营管理，盘活用活集体资产资源，切实增加集体经济收入。要建立督查反馈制度，定期或不定期组织人员对各村集体“三资”管理情况进行督查，推动监管工作落到实处，切实维护农村集体权益和农民合法利益。</w:t>
      </w:r>
    </w:p>
    <w:p>
      <w:pPr>
        <w:jc w:val="left"/>
        <w:rPr>
          <w:rFonts w:hint="eastAsia" w:ascii="黑体" w:hAnsi="黑体" w:eastAsia="黑体" w:cs="黑体"/>
          <w:color w:val="000000"/>
          <w:kern w:val="0"/>
          <w:sz w:val="10"/>
          <w:szCs w:val="10"/>
          <w:lang w:val="en-US" w:eastAsia="zh-CN"/>
        </w:rPr>
      </w:pPr>
    </w:p>
    <w:p>
      <w:pPr>
        <w:jc w:val="left"/>
        <w:rPr>
          <w:rFonts w:hint="eastAsia" w:ascii="黑体" w:hAnsi="黑体" w:eastAsia="黑体" w:cs="黑体"/>
          <w:color w:val="000000"/>
          <w:kern w:val="0"/>
          <w:sz w:val="10"/>
          <w:szCs w:val="10"/>
          <w:lang w:val="en-US" w:eastAsia="zh-CN"/>
        </w:rPr>
      </w:pPr>
    </w:p>
    <w:p>
      <w:pPr>
        <w:jc w:val="left"/>
        <w:rPr>
          <w:rFonts w:hint="eastAsia" w:ascii="黑体" w:hAnsi="黑体" w:eastAsia="黑体" w:cs="黑体"/>
          <w:color w:val="000000"/>
          <w:kern w:val="0"/>
          <w:sz w:val="10"/>
          <w:szCs w:val="10"/>
          <w:lang w:val="en-US" w:eastAsia="zh-CN"/>
        </w:rPr>
      </w:pPr>
    </w:p>
    <w:p>
      <w:pPr>
        <w:jc w:val="left"/>
        <w:rPr>
          <w:rFonts w:hint="eastAsia" w:ascii="黑体" w:hAnsi="黑体" w:eastAsia="黑体" w:cs="黑体"/>
          <w:color w:val="000000"/>
          <w:kern w:val="0"/>
          <w:sz w:val="10"/>
          <w:szCs w:val="10"/>
          <w:lang w:val="en-US" w:eastAsia="zh-CN"/>
        </w:rPr>
      </w:pPr>
    </w:p>
    <w:p>
      <w:pPr>
        <w:jc w:val="left"/>
        <w:rPr>
          <w:rFonts w:hint="eastAsia" w:ascii="黑体" w:hAnsi="黑体" w:eastAsia="黑体" w:cs="黑体"/>
          <w:color w:val="000000"/>
          <w:kern w:val="0"/>
          <w:sz w:val="10"/>
          <w:szCs w:val="10"/>
          <w:lang w:val="en-US" w:eastAsia="zh-CN"/>
        </w:rPr>
      </w:pPr>
    </w:p>
    <w:p>
      <w:pPr>
        <w:jc w:val="left"/>
        <w:rPr>
          <w:rFonts w:hint="eastAsia" w:ascii="黑体" w:hAnsi="黑体" w:eastAsia="黑体" w:cs="黑体"/>
          <w:color w:val="000000"/>
          <w:kern w:val="0"/>
          <w:sz w:val="10"/>
          <w:szCs w:val="10"/>
          <w:lang w:val="en-US" w:eastAsia="zh-CN"/>
        </w:rPr>
      </w:pPr>
    </w:p>
    <w:p>
      <w:pPr>
        <w:jc w:val="left"/>
        <w:rPr>
          <w:rFonts w:hint="eastAsia" w:ascii="黑体" w:hAnsi="黑体" w:eastAsia="黑体" w:cs="黑体"/>
          <w:color w:val="000000"/>
          <w:kern w:val="0"/>
          <w:sz w:val="10"/>
          <w:szCs w:val="10"/>
          <w:lang w:val="en-US" w:eastAsia="zh-CN"/>
        </w:rPr>
      </w:pPr>
    </w:p>
    <w:p>
      <w:pPr>
        <w:jc w:val="left"/>
        <w:rPr>
          <w:rFonts w:hint="eastAsia" w:ascii="黑体" w:hAnsi="黑体" w:eastAsia="黑体" w:cs="黑体"/>
          <w:color w:val="000000"/>
          <w:kern w:val="0"/>
          <w:sz w:val="10"/>
          <w:szCs w:val="10"/>
          <w:lang w:val="en-US" w:eastAsia="zh-CN"/>
        </w:rPr>
      </w:pPr>
    </w:p>
    <w:p>
      <w:pPr>
        <w:jc w:val="left"/>
        <w:rPr>
          <w:rFonts w:hint="eastAsia" w:ascii="黑体" w:hAnsi="黑体" w:eastAsia="黑体" w:cs="黑体"/>
          <w:color w:val="000000"/>
          <w:kern w:val="0"/>
          <w:sz w:val="10"/>
          <w:szCs w:val="10"/>
          <w:lang w:val="en-US" w:eastAsia="zh-CN"/>
        </w:rPr>
      </w:pPr>
    </w:p>
    <w:p>
      <w:pPr>
        <w:jc w:val="left"/>
        <w:rPr>
          <w:rFonts w:hint="eastAsia" w:ascii="黑体" w:hAnsi="黑体" w:eastAsia="黑体" w:cs="黑体"/>
          <w:color w:val="000000"/>
          <w:kern w:val="0"/>
          <w:sz w:val="10"/>
          <w:szCs w:val="10"/>
          <w:lang w:val="en-US" w:eastAsia="zh-CN"/>
        </w:rPr>
      </w:pPr>
    </w:p>
    <w:p>
      <w:pPr>
        <w:pStyle w:val="6"/>
        <w:widowControl/>
        <w:spacing w:beforeAutospacing="0" w:afterAutospacing="0" w:line="480" w:lineRule="atLeast"/>
        <w:ind w:firstLine="1285" w:firstLineChars="400"/>
        <w:rPr>
          <w:rFonts w:hint="eastAsia" w:ascii="仿宋" w:hAnsi="仿宋" w:eastAsia="仿宋" w:cs="仿宋"/>
          <w:b/>
          <w:color w:val="000000"/>
          <w:sz w:val="32"/>
          <w:szCs w:val="32"/>
          <w:shd w:val="clear" w:color="auto" w:fill="FFFFFF"/>
        </w:rPr>
      </w:pPr>
    </w:p>
    <w:p>
      <w:pPr>
        <w:pStyle w:val="6"/>
        <w:widowControl/>
        <w:spacing w:beforeAutospacing="0" w:afterAutospacing="0" w:line="480" w:lineRule="atLeast"/>
        <w:ind w:firstLine="1285" w:firstLineChars="400"/>
        <w:rPr>
          <w:rFonts w:ascii="仿宋" w:hAnsi="仿宋" w:eastAsia="仿宋" w:cs="仿宋"/>
          <w:b/>
          <w:color w:val="000000"/>
          <w:sz w:val="32"/>
          <w:szCs w:val="32"/>
          <w:shd w:val="clear" w:color="auto" w:fill="FFFFFF"/>
        </w:rPr>
      </w:pPr>
    </w:p>
    <w:p>
      <w:pPr>
        <w:spacing w:line="1620" w:lineRule="exact"/>
        <w:jc w:val="center"/>
        <w:rPr>
          <w:rFonts w:hint="eastAsia" w:ascii="方正小标宋简体" w:hAnsi="宋体" w:eastAsia="方正小标宋简体" w:cs="Times New Roman"/>
          <w:b/>
          <w:bCs/>
          <w:color w:val="FF0000"/>
          <w:spacing w:val="22"/>
          <w:w w:val="50"/>
          <w:sz w:val="80"/>
          <w:szCs w:val="80"/>
          <w:lang w:eastAsia="zh-CN"/>
        </w:rPr>
      </w:pPr>
      <w:r>
        <w:rPr>
          <w:rFonts w:hint="eastAsia" w:ascii="方正小标宋简体" w:hAnsi="宋体" w:eastAsia="方正小标宋简体" w:cs="Times New Roman"/>
          <w:b/>
          <w:bCs/>
          <w:color w:val="FF0000"/>
          <w:spacing w:val="23"/>
          <w:w w:val="46"/>
          <w:sz w:val="80"/>
          <w:szCs w:val="80"/>
          <w:lang w:eastAsia="zh-CN"/>
        </w:rPr>
        <w:t>馆陶县农村集体产权制度改革领导小组文件</w:t>
      </w:r>
    </w:p>
    <w:p>
      <w:pPr>
        <w:spacing w:line="560" w:lineRule="exact"/>
        <w:jc w:val="center"/>
        <w:rPr>
          <w:rFonts w:hint="eastAsia" w:ascii="创艺简粗黑" w:hAnsi="创艺简粗黑" w:eastAsia="创艺简粗黑" w:cs="创艺简粗黑"/>
          <w:b/>
          <w:bCs/>
          <w:color w:val="FF0000"/>
          <w:w w:val="80"/>
          <w:kern w:val="16"/>
          <w:sz w:val="56"/>
          <w:szCs w:val="56"/>
        </w:rPr>
      </w:pPr>
    </w:p>
    <w:p>
      <w:pPr>
        <w:spacing w:line="560" w:lineRule="exact"/>
        <w:jc w:val="center"/>
        <w:rPr>
          <w:rFonts w:hint="eastAsia" w:ascii="方正小标宋简体" w:hAnsi="方正小标宋简体" w:eastAsia="方正小标宋简体" w:cs="方正小标宋简体"/>
          <w:b/>
          <w:bCs/>
          <w:w w:val="108"/>
          <w:sz w:val="60"/>
          <w:szCs w:val="60"/>
        </w:rPr>
      </w:pPr>
    </w:p>
    <w:p>
      <w:pPr>
        <w:spacing w:line="560" w:lineRule="exact"/>
        <w:jc w:val="center"/>
        <w:rPr>
          <w:rFonts w:hint="eastAsia" w:ascii="方正小标宋简体" w:hAnsi="方正小标宋简体" w:eastAsia="方正小标宋简体" w:cs="方正小标宋简体"/>
          <w:b/>
          <w:bCs/>
          <w:w w:val="108"/>
          <w:sz w:val="44"/>
          <w:szCs w:val="44"/>
        </w:rPr>
      </w:pPr>
    </w:p>
    <w:p>
      <w:pPr>
        <w:spacing w:line="560" w:lineRule="exact"/>
        <w:jc w:val="center"/>
        <w:rPr>
          <w:rFonts w:hint="eastAsia" w:ascii="仿宋_GB2312" w:hAnsi="仿宋_GB2312" w:eastAsia="仿宋_GB2312" w:cs="仿宋_GB2312"/>
          <w:b/>
          <w:bCs/>
          <w:i w:val="0"/>
          <w:iCs w:val="0"/>
          <w:sz w:val="32"/>
          <w:szCs w:val="32"/>
          <w:u w:val="none"/>
        </w:rPr>
      </w:pPr>
      <w:r>
        <w:rPr>
          <w:rFonts w:hint="eastAsia" w:ascii="仿宋_GB2312" w:hAnsi="仿宋_GB2312" w:eastAsia="仿宋_GB2312" w:cs="仿宋_GB2312"/>
          <w:b/>
          <w:bCs/>
          <w:i w:val="0"/>
          <w:iCs w:val="0"/>
          <w:sz w:val="32"/>
          <w:szCs w:val="32"/>
          <w:u w:val="none"/>
        </w:rPr>
        <w:t>馆农改〔201</w:t>
      </w:r>
      <w:r>
        <w:rPr>
          <w:rFonts w:hint="eastAsia" w:ascii="仿宋_GB2312" w:hAnsi="仿宋_GB2312" w:eastAsia="仿宋_GB2312" w:cs="仿宋_GB2312"/>
          <w:b/>
          <w:bCs/>
          <w:i w:val="0"/>
          <w:iCs w:val="0"/>
          <w:sz w:val="32"/>
          <w:szCs w:val="32"/>
          <w:u w:val="none"/>
          <w:lang w:val="en-US" w:eastAsia="zh-CN"/>
        </w:rPr>
        <w:t>7</w:t>
      </w:r>
      <w:r>
        <w:rPr>
          <w:rFonts w:hint="eastAsia" w:ascii="仿宋_GB2312" w:hAnsi="仿宋_GB2312" w:eastAsia="仿宋_GB2312" w:cs="仿宋_GB2312"/>
          <w:b/>
          <w:bCs/>
          <w:i w:val="0"/>
          <w:iCs w:val="0"/>
          <w:sz w:val="32"/>
          <w:szCs w:val="32"/>
          <w:u w:val="none"/>
        </w:rPr>
        <w:t>〕</w:t>
      </w:r>
      <w:r>
        <w:rPr>
          <w:rFonts w:hint="eastAsia" w:ascii="仿宋_GB2312" w:hAnsi="仿宋_GB2312" w:eastAsia="仿宋_GB2312" w:cs="仿宋_GB2312"/>
          <w:b/>
          <w:bCs/>
          <w:i w:val="0"/>
          <w:iCs w:val="0"/>
          <w:sz w:val="32"/>
          <w:szCs w:val="32"/>
          <w:u w:val="none"/>
          <w:lang w:val="en-US" w:eastAsia="zh-CN"/>
        </w:rPr>
        <w:t>7</w:t>
      </w:r>
      <w:r>
        <w:rPr>
          <w:rFonts w:hint="eastAsia" w:ascii="仿宋_GB2312" w:hAnsi="仿宋_GB2312" w:eastAsia="仿宋_GB2312" w:cs="仿宋_GB2312"/>
          <w:b/>
          <w:bCs/>
          <w:i w:val="0"/>
          <w:iCs w:val="0"/>
          <w:sz w:val="32"/>
          <w:szCs w:val="32"/>
          <w:u w:val="none"/>
        </w:rPr>
        <w:t>号</w:t>
      </w:r>
    </w:p>
    <w:p>
      <w:pPr>
        <w:pStyle w:val="6"/>
        <w:widowControl/>
        <w:spacing w:beforeAutospacing="0" w:afterAutospacing="0" w:line="480" w:lineRule="atLeast"/>
        <w:jc w:val="both"/>
        <w:rPr>
          <w:rFonts w:hint="eastAsia" w:asciiTheme="majorEastAsia" w:hAnsiTheme="majorEastAsia" w:eastAsiaTheme="majorEastAsia" w:cstheme="majorEastAsia"/>
          <w:b/>
          <w:bCs w:val="0"/>
          <w:color w:val="000000"/>
          <w:sz w:val="44"/>
          <w:szCs w:val="44"/>
          <w:shd w:val="clear" w:color="auto" w:fill="FFFFFF"/>
          <w:lang w:val="en-US" w:eastAsia="zh-CN"/>
        </w:rPr>
      </w:pPr>
      <w:r>
        <w:rPr>
          <w:rFonts w:hint="eastAsia" w:asciiTheme="majorEastAsia" w:hAnsiTheme="majorEastAsia" w:eastAsiaTheme="majorEastAsia" w:cstheme="majorEastAsia"/>
          <w:b/>
          <w:bCs w:val="0"/>
          <w:color w:val="000000"/>
          <w:sz w:val="44"/>
          <w:szCs w:val="44"/>
          <w:shd w:val="clear" w:color="auto" w:fill="FFFFFF"/>
          <w:lang w:val="en-US" w:eastAsia="zh-CN"/>
        </w:rPr>
        <w:t>_____________________________________</w:t>
      </w:r>
    </w:p>
    <w:p>
      <w:pPr>
        <w:spacing w:line="600" w:lineRule="exact"/>
        <w:jc w:val="center"/>
        <w:rPr>
          <w:rFonts w:hint="eastAsia" w:ascii="方正小标宋简体" w:hAnsi="新宋体" w:eastAsia="方正小标宋简体"/>
          <w:b/>
          <w:sz w:val="44"/>
          <w:szCs w:val="44"/>
        </w:rPr>
      </w:pPr>
    </w:p>
    <w:p>
      <w:pPr>
        <w:spacing w:line="600" w:lineRule="exact"/>
        <w:jc w:val="center"/>
        <w:rPr>
          <w:rFonts w:ascii="方正小标宋简体" w:hAnsi="新宋体" w:eastAsia="方正小标宋简体"/>
          <w:b/>
          <w:sz w:val="44"/>
          <w:szCs w:val="44"/>
        </w:rPr>
      </w:pPr>
      <w:r>
        <w:rPr>
          <w:rFonts w:hint="eastAsia" w:ascii="方正小标宋简体" w:hAnsi="新宋体" w:eastAsia="方正小标宋简体"/>
          <w:b/>
          <w:sz w:val="44"/>
          <w:szCs w:val="44"/>
        </w:rPr>
        <w:t>馆陶县农村集体产权制度改革领导小组</w:t>
      </w:r>
    </w:p>
    <w:p>
      <w:pPr>
        <w:pStyle w:val="6"/>
        <w:widowControl/>
        <w:spacing w:beforeAutospacing="0" w:afterAutospacing="0" w:line="600" w:lineRule="exact"/>
        <w:jc w:val="center"/>
        <w:rPr>
          <w:rFonts w:ascii="方正小标宋简体" w:eastAsia="方正小标宋简体" w:hAnsiTheme="majorEastAsia" w:cstheme="majorEastAsia"/>
          <w:b/>
          <w:color w:val="000000"/>
          <w:sz w:val="44"/>
          <w:szCs w:val="44"/>
          <w:shd w:val="clear" w:color="auto" w:fill="FFFFFF"/>
        </w:rPr>
      </w:pPr>
      <w:r>
        <w:rPr>
          <w:rFonts w:hint="eastAsia" w:ascii="方正小标宋简体" w:hAnsi="新宋体" w:eastAsia="方正小标宋简体"/>
          <w:b/>
          <w:sz w:val="44"/>
          <w:szCs w:val="44"/>
        </w:rPr>
        <w:t>关于印发《</w:t>
      </w:r>
      <w:r>
        <w:rPr>
          <w:rFonts w:hint="eastAsia" w:ascii="方正小标宋简体" w:eastAsia="方正小标宋简体" w:hAnsiTheme="majorEastAsia" w:cstheme="majorEastAsia"/>
          <w:b/>
          <w:color w:val="000000"/>
          <w:sz w:val="44"/>
          <w:szCs w:val="44"/>
          <w:shd w:val="clear" w:color="auto" w:fill="FFFFFF"/>
        </w:rPr>
        <w:t>农村集体</w:t>
      </w:r>
      <w:r>
        <w:rPr>
          <w:rFonts w:hint="eastAsia" w:ascii="方正小标宋简体" w:eastAsia="方正小标宋简体" w:hAnsiTheme="majorEastAsia" w:cstheme="majorEastAsia"/>
          <w:b/>
          <w:color w:val="000000"/>
          <w:sz w:val="44"/>
          <w:szCs w:val="44"/>
          <w:shd w:val="clear" w:color="auto" w:fill="FFFFFF"/>
          <w:lang w:eastAsia="zh-CN"/>
        </w:rPr>
        <w:t>资金资产资源管理</w:t>
      </w:r>
    </w:p>
    <w:p>
      <w:pPr>
        <w:pStyle w:val="6"/>
        <w:widowControl/>
        <w:spacing w:beforeAutospacing="0" w:afterAutospacing="0" w:line="600" w:lineRule="exact"/>
        <w:jc w:val="center"/>
        <w:rPr>
          <w:rFonts w:ascii="方正小标宋简体" w:eastAsia="方正小标宋简体" w:hAnsiTheme="majorEastAsia" w:cstheme="majorEastAsia"/>
          <w:b/>
          <w:color w:val="000000"/>
          <w:sz w:val="44"/>
          <w:szCs w:val="44"/>
          <w:shd w:val="clear" w:color="auto" w:fill="FFFFFF"/>
        </w:rPr>
      </w:pPr>
      <w:r>
        <w:rPr>
          <w:rFonts w:hint="eastAsia" w:ascii="方正小标宋简体" w:eastAsia="方正小标宋简体" w:hAnsiTheme="majorEastAsia" w:cstheme="majorEastAsia"/>
          <w:b/>
          <w:color w:val="000000"/>
          <w:sz w:val="44"/>
          <w:szCs w:val="44"/>
          <w:shd w:val="clear" w:color="auto" w:fill="FFFFFF"/>
          <w:lang w:eastAsia="zh-CN"/>
        </w:rPr>
        <w:t>办法</w:t>
      </w:r>
      <w:r>
        <w:rPr>
          <w:rFonts w:hint="eastAsia" w:ascii="方正小标宋简体" w:eastAsia="方正小标宋简体" w:hAnsiTheme="majorEastAsia" w:cstheme="majorEastAsia"/>
          <w:b/>
          <w:color w:val="000000"/>
          <w:sz w:val="44"/>
          <w:szCs w:val="44"/>
          <w:shd w:val="clear" w:color="auto" w:fill="FFFFFF"/>
        </w:rPr>
        <w:t>》的通知</w:t>
      </w:r>
    </w:p>
    <w:p>
      <w:pPr>
        <w:pStyle w:val="6"/>
        <w:widowControl/>
        <w:spacing w:beforeAutospacing="0" w:afterAutospacing="0" w:line="480" w:lineRule="atLeast"/>
        <w:rPr>
          <w:rFonts w:ascii="仿宋" w:hAnsi="仿宋" w:eastAsia="仿宋" w:cs="仿宋"/>
          <w:color w:val="333333"/>
          <w:sz w:val="32"/>
          <w:szCs w:val="32"/>
          <w:shd w:val="clear" w:color="auto" w:fill="FFFFFF"/>
        </w:rPr>
      </w:pPr>
    </w:p>
    <w:p>
      <w:pPr>
        <w:pStyle w:val="6"/>
        <w:widowControl/>
        <w:spacing w:beforeAutospacing="0" w:afterAutospacing="0"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各乡镇党委，县直各部门，县直各单位党委（党组）、党支、支部，经济开发区党工委：</w:t>
      </w:r>
    </w:p>
    <w:p>
      <w:pPr>
        <w:pStyle w:val="6"/>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现将《农村集体</w:t>
      </w:r>
      <w:r>
        <w:rPr>
          <w:rFonts w:hint="eastAsia" w:ascii="仿宋_GB2312" w:hAnsi="仿宋_GB2312" w:eastAsia="仿宋_GB2312" w:cs="仿宋_GB2312"/>
          <w:color w:val="333333"/>
          <w:kern w:val="2"/>
          <w:sz w:val="32"/>
          <w:szCs w:val="32"/>
          <w:shd w:val="clear" w:color="auto" w:fill="FFFFFF"/>
          <w:lang w:eastAsia="zh-CN"/>
        </w:rPr>
        <w:t>资金资产资源管理办法</w:t>
      </w:r>
      <w:r>
        <w:rPr>
          <w:rFonts w:hint="eastAsia" w:ascii="仿宋_GB2312" w:hAnsi="仿宋_GB2312" w:eastAsia="仿宋_GB2312" w:cs="仿宋_GB2312"/>
          <w:color w:val="333333"/>
          <w:kern w:val="2"/>
          <w:sz w:val="32"/>
          <w:szCs w:val="32"/>
          <w:shd w:val="clear" w:color="auto" w:fill="FFFFFF"/>
        </w:rPr>
        <w:t>》予以印发，请认真</w:t>
      </w:r>
      <w:r>
        <w:rPr>
          <w:rFonts w:hint="eastAsia" w:ascii="仿宋_GB2312" w:hAnsi="仿宋_GB2312" w:eastAsia="仿宋_GB2312" w:cs="仿宋_GB2312"/>
          <w:color w:val="333333"/>
          <w:kern w:val="2"/>
          <w:sz w:val="32"/>
          <w:szCs w:val="32"/>
          <w:shd w:val="clear" w:color="auto" w:fill="FFFFFF"/>
          <w:lang w:eastAsia="zh-CN"/>
        </w:rPr>
        <w:t>贯彻</w:t>
      </w:r>
      <w:r>
        <w:rPr>
          <w:rFonts w:hint="eastAsia" w:ascii="仿宋_GB2312" w:hAnsi="仿宋_GB2312" w:eastAsia="仿宋_GB2312" w:cs="仿宋_GB2312"/>
          <w:color w:val="333333"/>
          <w:kern w:val="2"/>
          <w:sz w:val="32"/>
          <w:szCs w:val="32"/>
          <w:shd w:val="clear" w:color="auto" w:fill="FFFFFF"/>
        </w:rPr>
        <w:t>执行。</w:t>
      </w:r>
    </w:p>
    <w:p>
      <w:pPr>
        <w:spacing w:line="600" w:lineRule="exact"/>
        <w:jc w:val="center"/>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w:t>
      </w:r>
    </w:p>
    <w:p>
      <w:pPr>
        <w:spacing w:line="600" w:lineRule="exact"/>
        <w:jc w:val="center"/>
        <w:rPr>
          <w:rFonts w:ascii="仿宋_GB2312" w:hAnsi="新宋体" w:eastAsia="仿宋_GB2312"/>
          <w:sz w:val="32"/>
          <w:szCs w:val="32"/>
        </w:rPr>
      </w:pP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新宋体" w:eastAsia="仿宋_GB2312"/>
          <w:sz w:val="32"/>
          <w:szCs w:val="32"/>
        </w:rPr>
        <w:t>馆陶县农村集体产权制度改革领导小组</w:t>
      </w:r>
    </w:p>
    <w:p>
      <w:pPr>
        <w:pStyle w:val="6"/>
        <w:widowControl/>
        <w:spacing w:beforeAutospacing="0" w:afterAutospacing="0" w:line="600" w:lineRule="exact"/>
        <w:ind w:firstLine="645"/>
        <w:rPr>
          <w:rFonts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 xml:space="preserve">                         2017年11月1</w:t>
      </w:r>
      <w:r>
        <w:rPr>
          <w:rFonts w:hint="eastAsia" w:ascii="仿宋_GB2312" w:hAnsi="仿宋_GB2312" w:eastAsia="仿宋_GB2312" w:cs="仿宋_GB2312"/>
          <w:color w:val="333333"/>
          <w:kern w:val="2"/>
          <w:sz w:val="32"/>
          <w:szCs w:val="32"/>
          <w:shd w:val="clear" w:color="auto" w:fill="FFFFFF"/>
          <w:lang w:val="en-US" w:eastAsia="zh-CN"/>
        </w:rPr>
        <w:t>1</w:t>
      </w:r>
      <w:r>
        <w:rPr>
          <w:rFonts w:hint="eastAsia" w:ascii="仿宋_GB2312" w:hAnsi="仿宋_GB2312" w:eastAsia="仿宋_GB2312" w:cs="仿宋_GB2312"/>
          <w:color w:val="333333"/>
          <w:kern w:val="2"/>
          <w:sz w:val="32"/>
          <w:szCs w:val="32"/>
          <w:shd w:val="clear" w:color="auto" w:fill="FFFFFF"/>
        </w:rPr>
        <w:t>日</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农村集体</w:t>
      </w:r>
      <w:r>
        <w:rPr>
          <w:rFonts w:hint="eastAsia" w:asciiTheme="majorEastAsia" w:hAnsiTheme="majorEastAsia" w:eastAsiaTheme="majorEastAsia" w:cstheme="majorEastAsia"/>
          <w:b/>
          <w:bCs/>
          <w:sz w:val="44"/>
          <w:szCs w:val="44"/>
          <w:lang w:eastAsia="zh-CN"/>
        </w:rPr>
        <w:t>资金资产资源管理</w:t>
      </w:r>
      <w:r>
        <w:rPr>
          <w:rFonts w:hint="eastAsia" w:asciiTheme="majorEastAsia" w:hAnsiTheme="majorEastAsia" w:eastAsiaTheme="majorEastAsia" w:cstheme="majorEastAsia"/>
          <w:b/>
          <w:bCs/>
          <w:sz w:val="44"/>
          <w:szCs w:val="44"/>
        </w:rPr>
        <w:t>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00" w:firstLineChars="1000"/>
        <w:jc w:val="left"/>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第一章 总则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第一条 为了进一步规范农村集体经济组织资金、资产、资源（以下简称“三资”）管理，做好监管代理工作</w:t>
      </w:r>
      <w:r>
        <w:rPr>
          <w:rFonts w:hint="eastAsia" w:ascii="仿宋_GB2312" w:hAnsi="仿宋_GB2312" w:eastAsia="仿宋_GB2312" w:cs="仿宋_GB2312"/>
          <w:sz w:val="32"/>
          <w:szCs w:val="32"/>
          <w:lang w:eastAsia="zh-CN"/>
        </w:rPr>
        <w:t>，根</w:t>
      </w:r>
      <w:r>
        <w:rPr>
          <w:rFonts w:hint="eastAsia" w:ascii="仿宋_GB2312" w:hAnsi="仿宋_GB2312" w:eastAsia="仿宋_GB2312" w:cs="仿宋_GB2312"/>
          <w:sz w:val="32"/>
          <w:szCs w:val="32"/>
        </w:rPr>
        <w:t>据国家有关政策和法律法规的规定，结合我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实际，制定本办法。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第二条 农村集体“三资”归该集体经济组织全体成员共同所有，受国家法律保护，任何单位和个人不得违法侵占、平调、挪用。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农村集体经济组织资金是指农村集体拥有的现金、银行存款、有价证券等。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农村集体经济组织资产是指农村集体所有的固定资产、在建工程、投资资产、农业资产、存货及无形资产等。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农村集体经济组织资源是指农村集体拥有的物力、财力、人力等各种物质要素的总称，分为社会资源和自然资源两大类，这里主要指自然资源。</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第三条 农村集体“三资”管理工作，应按照制度“管权、管事、管人”，规范管理、强化监管、加强服务，逐步达到产权明晰、权责明确、经营高效、管理民主、监督到位的要求，保障农村集体经济组织成员权利，保证农村集体“三资”科学使用，保值增值，促进集体经济发展壮大，促进农民收入增加，促进农村经济社会和谐稳定发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第四条 农村集体“三资”管理应坚持民主、公开、农村集体经济组织全体成员受益的原则。保障农村集体经济组织成员对农村集体“三资”占有、出售、收益、抵押、担保、退出、继承和分配的知情权、参与权、监督权，充分体现农村集体经济组织成员的主体地位，切实维护农村集体经济组织成员的权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第五条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各级人民政府必须切实加强领导，共同做好农村集体“三资”管理工作。各</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人民政府及财政、农业部门负责农村集体“三资”管理工作的督促和指导；各</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人民政府对农村集体“三资”管理工作负有直接责任；</w:t>
      </w:r>
      <w:r>
        <w:rPr>
          <w:rFonts w:hint="eastAsia" w:ascii="仿宋_GB2312" w:hAnsi="仿宋_GB2312" w:eastAsia="仿宋_GB2312" w:cs="仿宋_GB2312"/>
          <w:sz w:val="32"/>
          <w:szCs w:val="32"/>
          <w:lang w:eastAsia="zh-CN"/>
        </w:rPr>
        <w:t>各村</w:t>
      </w:r>
      <w:r>
        <w:rPr>
          <w:rFonts w:hint="eastAsia" w:ascii="仿宋_GB2312" w:hAnsi="仿宋_GB2312" w:eastAsia="仿宋_GB2312" w:cs="仿宋_GB2312"/>
          <w:sz w:val="32"/>
          <w:szCs w:val="32"/>
        </w:rPr>
        <w:t>对农村集体“三资”管理工作负有具体责任。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第六条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财政、农业、民政和</w:t>
      </w:r>
      <w:r>
        <w:rPr>
          <w:rFonts w:hint="eastAsia" w:ascii="仿宋_GB2312" w:hAnsi="仿宋_GB2312" w:eastAsia="仿宋_GB2312" w:cs="仿宋_GB2312"/>
          <w:sz w:val="32"/>
          <w:szCs w:val="32"/>
          <w:lang w:eastAsia="zh-CN"/>
        </w:rPr>
        <w:t>农经</w:t>
      </w:r>
      <w:r>
        <w:rPr>
          <w:rFonts w:hint="eastAsia" w:ascii="仿宋_GB2312" w:hAnsi="仿宋_GB2312" w:eastAsia="仿宋_GB2312" w:cs="仿宋_GB2312"/>
          <w:sz w:val="32"/>
          <w:szCs w:val="32"/>
        </w:rPr>
        <w:t>等部门在农村集体“三资”管理工作中要各负其责，相互配合，相互支持。财政、农业部门负责农村集体“三资”管理日常工作的组织、指导和监督，制定管理监督措施，完善规范工作程序；</w:t>
      </w:r>
      <w:r>
        <w:rPr>
          <w:rFonts w:hint="eastAsia" w:ascii="仿宋_GB2312" w:hAnsi="仿宋_GB2312" w:eastAsia="仿宋_GB2312" w:cs="仿宋_GB2312"/>
          <w:sz w:val="32"/>
          <w:szCs w:val="32"/>
          <w:lang w:eastAsia="zh-CN"/>
        </w:rPr>
        <w:t>农经</w:t>
      </w:r>
      <w:r>
        <w:rPr>
          <w:rFonts w:hint="eastAsia" w:ascii="仿宋_GB2312" w:hAnsi="仿宋_GB2312" w:eastAsia="仿宋_GB2312" w:cs="仿宋_GB2312"/>
          <w:sz w:val="32"/>
          <w:szCs w:val="32"/>
        </w:rPr>
        <w:t>部门负责农村集体“三资”管理的审计监督工作，指导乡镇开展农村集体“三资”管理的审计工作，指导督促基层组织进一步完善农村集体资产台账和资源登记簿，加强经济合同管理；民政部门负责指导农村集体“三资”管理的公开、公示工作，完善公开、公示办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第二章 监管代理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第七条 为了加强对农村集体“三资”的管理，在保证农村集体“三资”所有权和收益权、审批权、使用权不变的前提下，实行农村集体“三资”监管代理制度。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第八条 各乡镇要成立以乡镇党委、政府、纪委、财政所（</w:t>
      </w:r>
      <w:r>
        <w:rPr>
          <w:rFonts w:hint="eastAsia" w:ascii="仿宋_GB2312" w:hAnsi="仿宋_GB2312" w:eastAsia="仿宋_GB2312" w:cs="仿宋_GB2312"/>
          <w:sz w:val="32"/>
          <w:szCs w:val="32"/>
          <w:lang w:eastAsia="zh-CN"/>
        </w:rPr>
        <w:t>农经</w:t>
      </w:r>
      <w:r>
        <w:rPr>
          <w:rFonts w:hint="eastAsia" w:ascii="仿宋_GB2312" w:hAnsi="仿宋_GB2312" w:eastAsia="仿宋_GB2312" w:cs="仿宋_GB2312"/>
          <w:sz w:val="32"/>
          <w:szCs w:val="32"/>
        </w:rPr>
        <w:t>站）及民政等单位人员为成员的农村集体“三资”管理监督委员会，负责农村集体“三资”监管代理工作的组织、协调、监督及日常工作的管理，组织开展对农村集体“三资”监管代理工作相关人员的培训；依托乡镇财政所（</w:t>
      </w:r>
      <w:r>
        <w:rPr>
          <w:rFonts w:hint="eastAsia" w:ascii="仿宋_GB2312" w:hAnsi="仿宋_GB2312" w:eastAsia="仿宋_GB2312" w:cs="仿宋_GB2312"/>
          <w:sz w:val="32"/>
          <w:szCs w:val="32"/>
          <w:lang w:eastAsia="zh-CN"/>
        </w:rPr>
        <w:t>农经</w:t>
      </w:r>
      <w:r>
        <w:rPr>
          <w:rFonts w:hint="eastAsia" w:ascii="仿宋_GB2312" w:hAnsi="仿宋_GB2312" w:eastAsia="仿宋_GB2312" w:cs="仿宋_GB2312"/>
          <w:sz w:val="32"/>
          <w:szCs w:val="32"/>
        </w:rPr>
        <w:t>站）设立农村集体“三资”监管代理中心（以下简称“三资”监管代理中心）和农村集体经济产权交易中心，依法开展农村集体“三资”监管代理工作，对农村集体“三资”的使用、购置、处置等行为进行管理和监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鼓励有条件的乡镇以政府购买服务的方式，委托具有相应资质的机构代理记账服务。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第九条 农村集体经济组织要与监管代理服务机构签订委托代理协议，监管代理服务机构依据委托代理协议履行代理服务职责。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第十条 农村集体“三资”监管代理和交易工作应建立由政府领导，纪委、监察、财政、农业、民政、</w:t>
      </w:r>
      <w:r>
        <w:rPr>
          <w:rFonts w:hint="eastAsia" w:ascii="仿宋_GB2312" w:hAnsi="仿宋_GB2312" w:eastAsia="仿宋_GB2312" w:cs="仿宋_GB2312"/>
          <w:sz w:val="32"/>
          <w:szCs w:val="32"/>
          <w:lang w:eastAsia="zh-CN"/>
        </w:rPr>
        <w:t>农经</w:t>
      </w:r>
      <w:r>
        <w:rPr>
          <w:rFonts w:hint="eastAsia" w:ascii="仿宋_GB2312" w:hAnsi="仿宋_GB2312" w:eastAsia="仿宋_GB2312" w:cs="仿宋_GB2312"/>
          <w:sz w:val="32"/>
          <w:szCs w:val="32"/>
        </w:rPr>
        <w:t>等相关单位配合，农村集体经济组织成员积极参与的长效管理工作机制，要各负其责，齐抓共管，形成合力。</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第十一条 监管工作职责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（一）乡镇农村集体“三资”管理监督委员会工作职责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1.负责对所辖区域内的农村集体“三资”监管代理工作及交易工作的领导和实施。每半年组织一次农村集体“三资”监管代理工作专题会议和情况通报。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2.负责督促“三资”监管代理中心指导村级组织编制村级年度预决算方案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3.制定村级“三资”管理年度考核方案，审核村干部报酬、养老保险办理。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4.每年组织一次村级“三资”的清理核查工作。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5.组织对村集体经济组织实施年度审计、专项审计、换届及离任人员的财务审计和移接交工作。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6.负责审批农村集体经济资产、资源交易项目，审定农村集体经济资产、资源交易方式。</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7.督促村集体经济组织配合实施农村集体经济组织“三资”监管代理工作，对违反“三资”管理办法人员及时进行追究责任。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8.配合县纪检、监察和上级有关部门对违规违纪人员的查处工作。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（二）“三资”监管代理中心工作职责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1.代理会计核算。按照《中华人民共和国会计法》、《村集体经济组织会计制度》等法律、法规和制度的规定，为代理单位设立账簿，进行会计核算，实施会计监督。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2.加强预决算管理。指导、审核、监督村级年度收支预决算工作。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3.代管资金。“三资”监管代理中心在金融机构统一开设村级资金“代管专户”，监督村级资金收支活动。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4.代理现金收付。村级日常开支实行备用金制度，按照村级收支内容及时办理资金报账业务。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5.做好资产、资源的动态管理工作。及时做好资产、资源台账的核对工作，做到账实相符，账账相符。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6.加强会计档案管理。建立健全会计档案管理制度，及时整理村级会计档案，分类编号，装订成册，统一保管，不得散失、毁损。</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7.提供会计信息。按照财务会计制度和上级业务主管部门的要求，及时编报财务报告，提供代理期间真实完整的各类会计信息。</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8.协助农村集体经济产权交易监管。协助农村集体经济产权交易中心做好农村集体资产资源产权交易的管理监督工作。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（三）农村集体经济产权交易中心工作职责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1.负责组织实施农村集体工程建设及资产资源交易活动，推动农村集体资产资源产权流转交易公开、公正、规范运行。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2.负责农村集体工程建设及资产资源交易处置的档案管理。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3.组织交易当事人签订、履行交易合同，调解交易纠纷；协助有关部门开展对交易活动中违规行为的调查处理。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4.履行监督检查职责。组织对农村集体资产资源的处置等活动进行检查，对发现未按规定进行处理的，及时报告。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5.各乡镇农村集体经济产权交易中心开展对资产、资源及项目建设的招投标工作。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黑体" w:hAnsi="黑体" w:eastAsia="黑体" w:cs="黑体"/>
          <w:sz w:val="32"/>
          <w:szCs w:val="32"/>
        </w:rPr>
        <w:t> 第三章 民主管理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第十二条 农村集体“三资”重大事项决策实行“</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议两公开”议事制度。涉及农村集体“三资”的下列事项，应由村党支部会提议、“两委”会商议、党员大会审议、村民会议或者村民代表会议决议，做到决议公开、实施结果公开。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（一）年度财务预算、预算调整、决算、及年终收益分配方案；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（二）对农村集体资产、资源进行发包、出租、转让；大中型固定资产的变卖和报废处理；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（三）农村集体经济组织投资和工程建设；</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（四）大额资金借贷、重要资产借用以及对外捐赠；</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（五）农村集体债权和应收款项的核销；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（六）农村集体资金、资产、资源进行抵押、担保；</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（七）其他应当经农村集体经济组织成员会议或成员代表会议讨论决定的事项。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第十三条 村务监督委员会负责村民民主理财，履行如下工作职责：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（一）参与制定本集体经济组织的财务计划、财务事项决策和财务管理制度，定期召开民主理财会议，开展民主理财活动。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（二）审核本集体经济组织财务账目及相关的经济活动事项，审查集体经济组织开支并签字盖章，否决不合理开支，接受本集体经济组织成员委托查阅、审核财务账目。</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（三）监督村级集体经济组织负责人和财务人员执行财经纪律情况；监督、检查本集体经济组织财务公开及预算执行情况，向村民会议或村民代表会议报告民主理财情况。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（四）向本集体经济组织提出村集体经济发展和财务管理方面的意见和建议。</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（五）配合财政、农业、</w:t>
      </w:r>
      <w:r>
        <w:rPr>
          <w:rFonts w:hint="eastAsia" w:ascii="仿宋_GB2312" w:hAnsi="仿宋_GB2312" w:eastAsia="仿宋_GB2312" w:cs="仿宋_GB2312"/>
          <w:sz w:val="32"/>
          <w:szCs w:val="32"/>
          <w:lang w:eastAsia="zh-CN"/>
        </w:rPr>
        <w:t>农经</w:t>
      </w:r>
      <w:r>
        <w:rPr>
          <w:rFonts w:hint="eastAsia" w:ascii="仿宋_GB2312" w:hAnsi="仿宋_GB2312" w:eastAsia="仿宋_GB2312" w:cs="仿宋_GB2312"/>
          <w:sz w:val="32"/>
          <w:szCs w:val="32"/>
        </w:rPr>
        <w:t>部门或审计部门做好农村集体经济组织财务审计工作。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第十四条 加强村级报账员管理。村级报账员应具备从业资格或相应专业技能。村级报账员可以由村民委员会组成人员兼任，村报帐员应相对保持稳定，村级报账员的更换应报乡镇“三资”管理监督委员会同意，由“三资”监管代理中心审核任职条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第十五条 实行农村集体“三资”监管代理的核查管理。农村集体“三资”核查工作在乡镇“三资”管理监督委员会统一指导下，由村民委员会组织实施。核查内容包括资金使用情况，资产、资源处置情况，资产、资源保值增值及收益分配情况等事项。农村集体“三资”核查工作实行“一季一巡查、半年一评议、全年一公示”制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第十六条 农村集体“三资”管理执行情况，实行按季公开制度，每季末乡镇“三资”监管代理中心将村财务收支和资产、资源明细情况在村财务公开栏内进行公示，接受村民监督。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第四章 农村集体资金管理</w:t>
      </w:r>
      <w:r>
        <w:rPr>
          <w:rFonts w:hint="eastAsia" w:ascii="黑体" w:hAnsi="黑体" w:eastAsia="黑体" w:cs="黑体"/>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第十七条 农村集体主要收入包括经营、发包、租赁、投资、资产处置等集体收入，上级转移支付资金以及补助、补偿资金，社会捐赠资金，兴办集体公益事业筹集资金，集体建设用地收益等。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第十八条 农村集体主要支出包括经营性支出、管理费用以及公益事业支出、福利性支出、投资项目支出等。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第十九条 农村集体所有收入必须及时进入乡镇“三资”监管代理中心专用账户，实行票款同行，不得坐收坐支，公款私存。</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第二十条 农村集体收入必须使用省财政厅监制的《</w:t>
      </w:r>
      <w:r>
        <w:rPr>
          <w:rFonts w:hint="eastAsia" w:ascii="仿宋_GB2312" w:hAnsi="仿宋_GB2312" w:eastAsia="仿宋_GB2312" w:cs="仿宋_GB2312"/>
          <w:sz w:val="32"/>
          <w:szCs w:val="32"/>
          <w:lang w:eastAsia="zh-CN"/>
        </w:rPr>
        <w:t>河</w:t>
      </w:r>
      <w:r>
        <w:rPr>
          <w:rFonts w:hint="eastAsia" w:ascii="仿宋_GB2312" w:hAnsi="仿宋_GB2312" w:eastAsia="仿宋_GB2312" w:cs="仿宋_GB2312"/>
          <w:sz w:val="32"/>
          <w:szCs w:val="32"/>
        </w:rPr>
        <w:t>北省农村集体经济组织统一收款收据》，严禁使用其它收据，有条件的地方农村集体收入可申请“三资”监管代理中心代开票据，确保收入全额、及时缴入中心账户。</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第二十一条 农村集体支出必须遵循以下原则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（一）严格执行年初预算。按照村级财务预决算制度执行。循序支出，严禁突击用钱。</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实行按时报账制。农村集体统一实行报账制，乡镇“三资”监管代理中心应根据业务量和区域远近，合理确定报帐时间，各村每季至少应报账1次。村集体按规定应配备专职或兼职的村级报账员。其任职资格应符合《</w:t>
      </w:r>
      <w:r>
        <w:rPr>
          <w:rFonts w:hint="eastAsia" w:ascii="仿宋_GB2312" w:hAnsi="仿宋_GB2312" w:eastAsia="仿宋_GB2312" w:cs="仿宋_GB2312"/>
          <w:sz w:val="32"/>
          <w:szCs w:val="32"/>
          <w:lang w:eastAsia="zh-CN"/>
        </w:rPr>
        <w:t>河</w:t>
      </w:r>
      <w:r>
        <w:rPr>
          <w:rFonts w:hint="eastAsia" w:ascii="仿宋_GB2312" w:hAnsi="仿宋_GB2312" w:eastAsia="仿宋_GB2312" w:cs="仿宋_GB2312"/>
          <w:sz w:val="32"/>
          <w:szCs w:val="32"/>
        </w:rPr>
        <w:t>北省村级会计委托代理服务工作实施办法（暂行）》要求。</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三）实行“签审”制度。各项日常开支须有事由说明、经手人、证明人、财务“一支笔”主管签字，并由村务监督委员会审核盖章、会计委托代理服务中心审核后方可入账，大额支出必须经村民会议或者村民代表会议审核通过，并报乡镇政府批准，同时履行审批程序。</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严格支出用途。村级支出主要包括：村干部报酬、办公经费、非生产性支出、生产性支出及其它支出。其中：非生产性支出实行限额标准控制，各地要根据村级经济发展水平制定村级公用经费限额标准，农村集体报刊费按当地有关部门制定的人均标准限额控制，大额生产性支出实行村级集体“一事一议”的办法、报政府或相关部门先批后建的审批程序，严格支出的管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实行资金直达制度。对涉农补贴款、民政优抚款、村干部报酬、农户拆迁及土地征用补偿费等涉及个人款项，由中心按有关规定直达个人账户；对“一事一议”项目等专项建设资金由“三资”监管代理中心根据施工合同、项目预决算报告及验收相关情况直达施工单位或个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实行备用金管理制度。备用金的限额，由“三资”监管代理中心根据各村会计业务量大小、地理位置及支出状况，与村委会协商决定。特殊因素需要增加备用金额度的行政村，必须经乡镇“三资”管理监督委员会审批。备用金的领取由村报账员申报，村财务负责人审核，“三资”监管代理中心主任审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七）严格日常支出管理。村级集体经济组织支出的原始凭证，原则上必须要税务部门的正式发票，对数量少、金额小难以取得税务发票的零星开支，经报当地政府批准，明确开支明细科目后，统一使用财政部门监制的“农村集体经济组织小额支付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第二十二条 实行收支预决算制度。编制收支预算必须坚持“收入合规、支出有度、收支平衡、略有节余”的原则，年初预算、预算调整、年终决算须经村民会议或者村民代表会议谈论通过，“三资”监管代理中心严格监督执行。预算的调整须经预算规定的程序，村集体经济组织要先书面报告说明事由，经村民会议或者村民代表会议讨论通过，村务监督委员会审核、报“三资”监管代理中心备案，乡镇政府审批后，予以预算收支调整。</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第二十三条 加强村集体经济组织债权债务的管理。建立债权债务明细账，每年度要对村集体经济组织的债权债务进行核实清理，做到账账、账实相符，不得产生建设项目账外债务现象。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第五章 农村集体资产管理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第二十四条 农村集体资产主要包括</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农村集体经济组织投资、投劳以及国家支持农村集体经济组织投资形成的房屋、建筑物、机器、设备以及农田水利等农业基本建设设施和教育、科技、文化、卫生、体育、供水供电、交通通讯等公益性设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（二）农村集体经济组织兴办的企业股权及其权益，以及通过兼并、分立、有偿转让等方式形成的股权；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（三）农村集体经济组织在联营企业、股份制企业、股份合作制企业、中外合资、合作经营企业和集资建设的项目中投资入股的，按照投资份额拥有的资产股权及其权益；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（四）农村集体经济组织所有的牲畜（禽）、林木等生物资产；</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（五）农村集体经济组织所有的固定资产、库存物资等有形资产；</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（六）农村集体经济组织拥有的专利权、商标、商誉等无形资产；</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（七）农村集体经济组织接受捐赠、资助等形成的资产；</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（八）依法属于农村集体经济组织所有的其他资产。</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第二十五条 农村集体经济组织成员对集体资产股份拥有占有、收益、出售、退出、担保、继承的权利。</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第二十六条 农村集体经济组织所有的房屋、建筑物、机器、设备、工具、器具和农业基本建设设施等资产，要按资产的类别建立资产台账，及时记录资产增减变动情况。实行承包、租赁经营的，还应当登记承包、租赁单位（人员）名称，承包费或租赁金以及承包、租赁期限等。已出让或报废的，应当按照相关规定及时核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第二十七条 农村集体经济组织重大工程建设项目要实行公开招投标。工程完工后，依照合同严格组织验收，形成固定资产的，应落实监管责任人。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第二十八条 农村集体经济组织应定期进行资产清查，其中固定资产、产品物资每年进行一次盘点清查，做到账实相符。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第二十九条 农村集体经济组织所有的资产有下列情形之一的，应当参照国家有关规定进行资产评估</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（一）农村集体经济组织对集体资产进行承包、租赁，或以参股、联营、合资、合作方式经营集体资产的；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（二）对集体资产以拍卖、转让、产权交易等方式进行产权变更的；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（三）农村集体企业出现兼并、分立、破产清算情形的；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（四）在农村集体资产上设立抵押权及其他担保物权的；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（五）其他需要进行资产评估的。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第三十条 农村集体资产评估由乡镇“三资”管理监督委员会组织实施。可聘请涉及相关专业的单位或人员参与评估工作，数额较大的重要资产评估应委托具备相应资质的中介机构实施。评估结果应按权属关系经农村集体经济组织成员会议或成员代表会议确认。</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第三十一条 农村集体资产的购置、处置、租赁、承包或出让，应当制定相关方案，明确资产的名称、数量、用途，承包、租赁、出让的条件及其价格，经农村集体经济组织成员会议或成员代表会议决定后，在乡镇“三资”管理监督委员会的领导和参与下，由乡镇或县级农村集体产权交易中心组织开展招标投标工作，采取招标投标的方式进行，并签订书面合同，资产的购置、处置、租赁、承包或出让达到一定数额的，应在县级实行公开招投标。</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第三十二条 固定资产购置。固定资产价值较小的由村“两委”决定购置；价值较大的由村“两委”提出意见，经村民会议或者村民代表会议讨论同意后方可购置；房屋、建筑物等较大投资项目实行招投标方式建设。购置或投资及接受捐赠、资助等所形成的固定资产，“三资”监管代理中心要进行固定资产总账及明细账分类核算，并登录固定资产记录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第三十三条 村集体资产的处置</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村集体资产的处置原值较小的由村“两委”决定；原值较大的须经村民会议或者村民代表会议讨论同意后方可处置，并在“三资”监管代理中心备案。处置方法实行公开招投标方式，确保固定资产保值增值。处置所得要及时足额缴入“三资”监管代理中心资金专户，并进行财务核算，且登录固定资产登记簿资产目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村集体资产承包、租赁价值各地可根据当地实际情况确定，一般实行招投标制度，对村集体资产承包、租赁价值较小的可由村“两委”本着依法、实用、简便的原则对外承包或租赁。在“三资”监管代理中心登记备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第三十四条 农村集体经济组织应定期对集体资产运营情况进行检查，确保集体资产安全和保值增值。</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第六章 农村集体资源管理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第三十五条 农村集体经济组织资源是法律规定属于集体所有的耕地、林地、园地、草场、荒山、荒地、荒坡、荒滩、水面、建设用地、矿藏等，属于农村集体经济组织成员共同所有。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第三十六条 农村集体经济组织“三资”管理监督委员会依法维护农民土地承包经营权，稳定农村土地承包关系，保护农民对承包地占有、使用、收益、流转及承包经营权抵押、担保权能。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第三十七条 农村集体经济组织应当建立资源登记簿，对集体所有的资源逐项记录。资源登记簿主要内容包括：资源的名称、类别、坐落、四至、面积等。实行承包、租赁经营的集体资源，还应当登记资源承包、租赁单位（人员）的名称、地址，承包、租赁资源的用途，承包费或租赁金，期限和起止日期等。农村集体建设用地以及发生农村集体建设用地使用权出让事项等要重点记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第三十八条 农村集体经济组织有权依法决定集体资源的经营方式，可由集体经济组织直接经营或实行承包经营、租赁经营，也可以采取集体资产参股、联营和股份合作经营方式，保证集体资源的保值、增值。</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第三十九条 农村集体经济组织所有且没有采取家庭承包方式的耕地、林地、园地、草场、荒山、荒地、荒坡、荒滩、水面等资源承包、租赁的，其承包、租赁方案应经本集体经济组织成员会议或成员代表会议讨论决定，并采取招标投标的方式进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第四十条 农村集体经济组织资源的承包、租赁应当签订书面合同，明确双方的权利、义务、违约责任等。合同应当使用统一规范的文本。</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第四十一条 农村集体经济组织建设用地收益归集体经济组织所有，主要用于发展集体生产经营、兴办公益事业等，其分配方案应经农村集体经济组织成员会议或成员代表会议讨论通过，并报乡镇人民政府备案。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第四十二条 农村集体经济组织资源的处置实行招投标管理制度。农村集体经济组织资源实行租赁、承包或出让的，应当制定相关方案，明确资产的名称、数量、用途，承包、租赁、出让的条件及其价格，经农村集体经济组织成员会议或成员代表会议决定后，采取招标投标的方式进行，并签订书面合同，对于价值较大的资源处置必须聘请专业单位和人员参与。</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第四十三条 农村集体经济组织资源处置的招标投标工作，由农村集体经济产权交易中心在乡镇“三资”管理监督委员会的领导和参与下开展工作。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黑体" w:hAnsi="黑体" w:eastAsia="黑体" w:cs="黑体"/>
          <w:sz w:val="32"/>
          <w:szCs w:val="32"/>
        </w:rPr>
        <w:t>第七章 监督检查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第四十四条 财政、农业等部门要加强对农村集体“三资”监管代理工作的监督检查，定期或不定期开展巡查工作，发现问题要及时督促整改。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第四十五条 乡镇党委政府作为乡镇农村集体“三资”监管工作责任主体，每年要通过自查自找、党员群众评议、征求包村干部和村务监督委员会意见、专项核查等形式，依托乡镇纪委和乡镇“三资”管理监督委员会，组织力量开展农村集体“三资”监管代理工作督查，及时发现和解决问题，完善管理监督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第四十六条 县人民政府及县财政、农业和</w:t>
      </w:r>
      <w:r>
        <w:rPr>
          <w:rFonts w:hint="eastAsia" w:ascii="仿宋_GB2312" w:hAnsi="仿宋_GB2312" w:eastAsia="仿宋_GB2312" w:cs="仿宋_GB2312"/>
          <w:sz w:val="32"/>
          <w:szCs w:val="32"/>
          <w:lang w:eastAsia="zh-CN"/>
        </w:rPr>
        <w:t>农经</w:t>
      </w:r>
      <w:r>
        <w:rPr>
          <w:rFonts w:hint="eastAsia" w:ascii="仿宋_GB2312" w:hAnsi="仿宋_GB2312" w:eastAsia="仿宋_GB2312" w:cs="仿宋_GB2312"/>
          <w:sz w:val="32"/>
          <w:szCs w:val="32"/>
        </w:rPr>
        <w:t>部门要加强对村级财务的审计工作，对村级财务实行年度、专项或抽样审计，并对村“两委”任期内经济目标责任和离任的村干部进行离任审计，对群众反映强烈的问题进行重点审计，审计结果及处理意见应及时向群众公开，纳入中心存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黑体" w:hAnsi="黑体" w:eastAsia="黑体" w:cs="黑体"/>
          <w:sz w:val="32"/>
          <w:szCs w:val="32"/>
        </w:rPr>
        <w:t>第八章 违规行为处理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第四十七条 有关责任人员未按规定履行或者正确履行职责造成农村集体“三资”损失，经调查核实和责任认定，应追究其责任。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第四十八条 有下列行为之一的，由乡镇及乡镇以上纪检监察机关责令限期改正；造成经济损失的，责令其赔偿；视情节轻重，对直接责任人员给予党纪、政纪处分；构成犯罪的，依法追究相关责任人的刑事责任。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（一）违反规定无据收支款或者收入不入账、公款私存、设立“小金库”，隐瞒、截留、坐支集体收入；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（二）以虚报、冒领等手段套取、骗取属于集体所有的资金资产；</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（三）违反规定处置农村集体“三资”，或者擅自用集体财产为他人提供担保，损害集体利益；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（四）在集体资金使用、经济项目和工程建设项目立项以及资产资源承包、租赁等经营活动中暗箱操作，没有实行公开招投标，为本人或他人谋取私利；</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（五）不按规定实行民主理财，阻挠、干扰有关部门和单位开展经济审计和监督检查；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（六）侵占、截留、挪用、哄抢、私分、破坏或者非法查封、扣押、冻结农村集体资金资产资源。</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第四十九条 农村集体“三资”监管和委托代理服务人员滥用职权、徇私舞弊、玩忽职守，造成集体</w:t>
      </w:r>
      <w:r>
        <w:rPr>
          <w:rFonts w:hint="eastAsia" w:ascii="仿宋_GB2312" w:hAnsi="仿宋_GB2312" w:eastAsia="仿宋_GB2312" w:cs="仿宋_GB2312"/>
          <w:sz w:val="32"/>
          <w:szCs w:val="32"/>
          <w:lang w:eastAsia="zh-CN"/>
        </w:rPr>
        <w:t>“三资”</w:t>
      </w:r>
      <w:r>
        <w:rPr>
          <w:rFonts w:hint="eastAsia" w:ascii="仿宋_GB2312" w:hAnsi="仿宋_GB2312" w:eastAsia="仿宋_GB2312" w:cs="仿宋_GB2312"/>
          <w:sz w:val="32"/>
          <w:szCs w:val="32"/>
        </w:rPr>
        <w:t>损失的，依法承担民事责任；情节严重的，由其所在单位或上级机关对责任人员给予党纪、政纪处分；构成犯罪的，依法追究刑事责任。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第九章 附则</w:t>
      </w:r>
      <w:r>
        <w:rPr>
          <w:rFonts w:hint="eastAsia" w:ascii="黑体" w:hAnsi="黑体" w:eastAsia="黑体" w:cs="黑体"/>
          <w:sz w:val="32"/>
          <w:szCs w:val="32"/>
        </w:rPr>
        <w:br w:type="textWrapping"/>
      </w:r>
      <w:r>
        <w:rPr>
          <w:rFonts w:hint="eastAsia" w:ascii="仿宋_GB2312" w:hAnsi="仿宋_GB2312" w:eastAsia="仿宋_GB2312" w:cs="仿宋_GB2312"/>
          <w:sz w:val="32"/>
          <w:szCs w:val="32"/>
        </w:rPr>
        <w:t>    第五十条 本办法由</w:t>
      </w:r>
      <w:r>
        <w:rPr>
          <w:rFonts w:hint="eastAsia" w:ascii="仿宋_GB2312" w:hAnsi="仿宋_GB2312" w:eastAsia="仿宋_GB2312" w:cs="仿宋_GB2312"/>
          <w:sz w:val="32"/>
          <w:szCs w:val="32"/>
          <w:lang w:eastAsia="zh-CN"/>
        </w:rPr>
        <w:t>馆陶县农村集体产权制度改革领导小组</w:t>
      </w:r>
      <w:r>
        <w:rPr>
          <w:rFonts w:hint="eastAsia" w:ascii="仿宋_GB2312" w:hAnsi="仿宋_GB2312" w:eastAsia="仿宋_GB2312" w:cs="仿宋_GB2312"/>
          <w:sz w:val="32"/>
          <w:szCs w:val="32"/>
        </w:rPr>
        <w:t>负责解释。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第五十一条 本办法自下发之日起实施。</w:t>
      </w:r>
    </w:p>
    <w:p>
      <w:pPr>
        <w:jc w:val="left"/>
        <w:rPr>
          <w:rFonts w:hint="eastAsia" w:ascii="黑体" w:hAnsi="黑体" w:eastAsia="黑体" w:cs="黑体"/>
          <w:color w:val="000000"/>
          <w:kern w:val="0"/>
          <w:sz w:val="10"/>
          <w:szCs w:val="10"/>
          <w:lang w:val="en-US" w:eastAsia="zh-CN"/>
        </w:rPr>
      </w:pPr>
    </w:p>
    <w:sectPr>
      <w:pgSz w:w="11906" w:h="16838"/>
      <w:pgMar w:top="1644" w:right="1644" w:bottom="1644" w:left="1701" w:header="851" w:footer="992" w:gutter="0"/>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创艺简粗黑">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8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auto"/>
    <w:pitch w:val="default"/>
    <w:sig w:usb0="E0002AFF" w:usb1="C0007843" w:usb2="00000009" w:usb3="00000000" w:csb0="400001FF" w:csb1="FFFF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F6F2B"/>
    <w:multiLevelType w:val="multilevel"/>
    <w:tmpl w:val="554F6F2B"/>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A04E6A0"/>
    <w:multiLevelType w:val="singleLevel"/>
    <w:tmpl w:val="5A04E6A0"/>
    <w:lvl w:ilvl="0" w:tentative="0">
      <w:start w:val="1"/>
      <w:numFmt w:val="chineseCounting"/>
      <w:suff w:val="nothing"/>
      <w:lvlText w:val="（%1）"/>
      <w:lvlJc w:val="left"/>
      <w:pPr>
        <w:ind w:left="0" w:firstLine="0"/>
      </w:pPr>
      <w:rPr>
        <w:rFonts w:cs="Times New Roman"/>
      </w:rPr>
    </w:lvl>
  </w:abstractNum>
  <w:abstractNum w:abstractNumId="2">
    <w:nsid w:val="5A04E6C1"/>
    <w:multiLevelType w:val="singleLevel"/>
    <w:tmpl w:val="5A04E6C1"/>
    <w:lvl w:ilvl="0" w:tentative="0">
      <w:start w:val="1"/>
      <w:numFmt w:val="chineseCounting"/>
      <w:suff w:val="nothing"/>
      <w:lvlText w:val="（%1）"/>
      <w:lvlJc w:val="left"/>
    </w:lvl>
  </w:abstractNum>
  <w:abstractNum w:abstractNumId="3">
    <w:nsid w:val="62D620F5"/>
    <w:multiLevelType w:val="singleLevel"/>
    <w:tmpl w:val="62D620F5"/>
    <w:lvl w:ilvl="0" w:tentative="0">
      <w:start w:val="1"/>
      <w:numFmt w:val="chineseCounting"/>
      <w:suff w:val="nothing"/>
      <w:lvlText w:val="%1、"/>
      <w:lvlJc w:val="left"/>
      <w:rPr>
        <w:rFonts w:hint="eastAsia"/>
      </w:rPr>
    </w:lvl>
  </w:abstractNum>
  <w:num w:numId="1">
    <w:abstractNumId w:val="1"/>
    <w:lvlOverride w:ilvl="0">
      <w:startOverride w:val="1"/>
    </w:lvlOverride>
  </w:num>
  <w:num w:numId="2">
    <w:abstractNumId w:val="2"/>
    <w:lvlOverride w:ilvl="0">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HorizontalSpacing w:val="21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C40DD"/>
    <w:rsid w:val="008018BE"/>
    <w:rsid w:val="0AF8079F"/>
    <w:rsid w:val="0BD5793B"/>
    <w:rsid w:val="0BEB4486"/>
    <w:rsid w:val="126F5B22"/>
    <w:rsid w:val="1DF13539"/>
    <w:rsid w:val="20BB378A"/>
    <w:rsid w:val="2B294209"/>
    <w:rsid w:val="2EB60778"/>
    <w:rsid w:val="2EE449AF"/>
    <w:rsid w:val="34604CED"/>
    <w:rsid w:val="364676D7"/>
    <w:rsid w:val="3A943C93"/>
    <w:rsid w:val="3FBE6111"/>
    <w:rsid w:val="444B7D04"/>
    <w:rsid w:val="459816DC"/>
    <w:rsid w:val="46D32E19"/>
    <w:rsid w:val="47B07A4D"/>
    <w:rsid w:val="47EB5736"/>
    <w:rsid w:val="4DDE55F9"/>
    <w:rsid w:val="50D57D26"/>
    <w:rsid w:val="51C6226C"/>
    <w:rsid w:val="520B42FD"/>
    <w:rsid w:val="5BDC40DD"/>
    <w:rsid w:val="654D3DB9"/>
    <w:rsid w:val="6D535020"/>
    <w:rsid w:val="6D6571C0"/>
    <w:rsid w:val="6D6F7A42"/>
    <w:rsid w:val="6E6F3804"/>
    <w:rsid w:val="73520DD4"/>
    <w:rsid w:val="73900D6B"/>
    <w:rsid w:val="757D20AD"/>
    <w:rsid w:val="75C4740E"/>
    <w:rsid w:val="784E0EB2"/>
    <w:rsid w:val="78D72143"/>
    <w:rsid w:val="7BDD493C"/>
    <w:rsid w:val="7F467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font31"/>
    <w:basedOn w:val="7"/>
    <w:qFormat/>
    <w:uiPriority w:val="0"/>
    <w:rPr>
      <w:rFonts w:hint="eastAsia" w:ascii="宋体" w:hAnsi="宋体" w:eastAsia="宋体" w:cs="宋体"/>
      <w:color w:val="000000"/>
      <w:sz w:val="24"/>
      <w:szCs w:val="24"/>
      <w:u w:val="none"/>
    </w:rPr>
  </w:style>
  <w:style w:type="character" w:customStyle="1" w:styleId="12">
    <w:name w:val="font71"/>
    <w:basedOn w:val="7"/>
    <w:qFormat/>
    <w:uiPriority w:val="0"/>
    <w:rPr>
      <w:rFonts w:hint="eastAsia" w:ascii="宋体" w:hAnsi="宋体" w:eastAsia="宋体" w:cs="宋体"/>
      <w:color w:val="000000"/>
      <w:sz w:val="24"/>
      <w:szCs w:val="24"/>
      <w:u w:val="single"/>
    </w:rPr>
  </w:style>
  <w:style w:type="character" w:customStyle="1" w:styleId="13">
    <w:name w:val="font21"/>
    <w:basedOn w:val="7"/>
    <w:qFormat/>
    <w:uiPriority w:val="0"/>
    <w:rPr>
      <w:rFonts w:hint="default" w:ascii="Calibri" w:hAnsi="Calibri" w:cs="Calibri"/>
      <w:color w:val="000000"/>
      <w:sz w:val="28"/>
      <w:szCs w:val="28"/>
      <w:u w:val="none"/>
    </w:rPr>
  </w:style>
  <w:style w:type="character" w:customStyle="1" w:styleId="14">
    <w:name w:val="font01"/>
    <w:basedOn w:val="7"/>
    <w:qFormat/>
    <w:uiPriority w:val="0"/>
    <w:rPr>
      <w:rFonts w:hint="eastAsia" w:ascii="宋体" w:hAnsi="宋体" w:eastAsia="宋体" w:cs="宋体"/>
      <w:color w:val="000000"/>
      <w:sz w:val="28"/>
      <w:szCs w:val="28"/>
      <w:u w:val="none"/>
    </w:rPr>
  </w:style>
  <w:style w:type="character" w:customStyle="1" w:styleId="15">
    <w:name w:val="font41"/>
    <w:basedOn w:val="7"/>
    <w:qFormat/>
    <w:uiPriority w:val="0"/>
    <w:rPr>
      <w:rFonts w:hint="eastAsia" w:ascii="宋体" w:hAnsi="宋体" w:eastAsia="宋体" w:cs="宋体"/>
      <w:color w:val="000000"/>
      <w:sz w:val="22"/>
      <w:szCs w:val="22"/>
      <w:u w:val="none"/>
    </w:rPr>
  </w:style>
  <w:style w:type="character" w:customStyle="1" w:styleId="16">
    <w:name w:val="font11"/>
    <w:basedOn w:val="7"/>
    <w:qFormat/>
    <w:uiPriority w:val="0"/>
    <w:rPr>
      <w:rFonts w:hint="default" w:ascii="Times New Roman" w:hAnsi="Times New Roman" w:cs="Times New Roman"/>
      <w:color w:val="000000"/>
      <w:sz w:val="22"/>
      <w:szCs w:val="22"/>
      <w:u w:val="none"/>
    </w:rPr>
  </w:style>
  <w:style w:type="paragraph" w:styleId="17">
    <w:name w:val="List Paragraph"/>
    <w:basedOn w:val="1"/>
    <w:qFormat/>
    <w:uiPriority w:val="34"/>
    <w:pPr>
      <w:ind w:firstLine="420" w:firstLineChars="200"/>
    </w:pPr>
  </w:style>
  <w:style w:type="character" w:customStyle="1" w:styleId="18">
    <w:name w:val="font161"/>
    <w:basedOn w:val="7"/>
    <w:qFormat/>
    <w:uiPriority w:val="0"/>
    <w:rPr>
      <w:rFonts w:hint="eastAsia" w:ascii="宋体" w:hAnsi="宋体" w:eastAsia="宋体" w:cs="宋体"/>
      <w:color w:val="000000"/>
      <w:sz w:val="24"/>
      <w:szCs w:val="24"/>
      <w:u w:val="single"/>
    </w:rPr>
  </w:style>
  <w:style w:type="character" w:customStyle="1" w:styleId="19">
    <w:name w:val="font61"/>
    <w:basedOn w:val="7"/>
    <w:qFormat/>
    <w:uiPriority w:val="0"/>
    <w:rPr>
      <w:rFonts w:hint="eastAsia" w:ascii="宋体" w:hAnsi="宋体" w:eastAsia="宋体" w:cs="宋体"/>
      <w:color w:val="000000"/>
      <w:sz w:val="24"/>
      <w:szCs w:val="24"/>
      <w:u w:val="none"/>
    </w:rPr>
  </w:style>
  <w:style w:type="character" w:customStyle="1" w:styleId="20">
    <w:name w:val="font141"/>
    <w:basedOn w:val="7"/>
    <w:qFormat/>
    <w:uiPriority w:val="0"/>
    <w:rPr>
      <w:rFonts w:hint="eastAsia" w:ascii="宋体" w:hAnsi="宋体" w:eastAsia="宋体" w:cs="宋体"/>
      <w:color w:val="000000"/>
      <w:sz w:val="20"/>
      <w:szCs w:val="20"/>
      <w:u w:val="none"/>
    </w:rPr>
  </w:style>
  <w:style w:type="character" w:customStyle="1" w:styleId="21">
    <w:name w:val="font171"/>
    <w:basedOn w:val="7"/>
    <w:qFormat/>
    <w:uiPriority w:val="0"/>
    <w:rPr>
      <w:rFonts w:hint="default" w:ascii="Calibri" w:hAnsi="Calibri" w:cs="Calibri"/>
      <w:b/>
      <w:color w:val="000000"/>
      <w:sz w:val="20"/>
      <w:szCs w:val="20"/>
      <w:u w:val="none"/>
    </w:rPr>
  </w:style>
  <w:style w:type="character" w:customStyle="1" w:styleId="22">
    <w:name w:val="font131"/>
    <w:basedOn w:val="7"/>
    <w:qFormat/>
    <w:uiPriority w:val="0"/>
    <w:rPr>
      <w:rFonts w:hint="eastAsia" w:ascii="宋体" w:hAnsi="宋体" w:eastAsia="宋体" w:cs="宋体"/>
      <w:b/>
      <w:color w:val="000000"/>
      <w:sz w:val="20"/>
      <w:szCs w:val="20"/>
      <w:u w:val="none"/>
    </w:rPr>
  </w:style>
  <w:style w:type="character" w:customStyle="1" w:styleId="23">
    <w:name w:val="font101"/>
    <w:basedOn w:val="7"/>
    <w:qFormat/>
    <w:uiPriority w:val="0"/>
    <w:rPr>
      <w:rFonts w:hint="default" w:ascii="Calibri" w:hAnsi="Calibri" w:cs="Calibri"/>
      <w:color w:val="000000"/>
      <w:sz w:val="20"/>
      <w:szCs w:val="20"/>
      <w:u w:val="none"/>
    </w:rPr>
  </w:style>
  <w:style w:type="character" w:customStyle="1" w:styleId="24">
    <w:name w:val="font111"/>
    <w:basedOn w:val="7"/>
    <w:qFormat/>
    <w:uiPriority w:val="0"/>
    <w:rPr>
      <w:rFonts w:hint="eastAsia" w:ascii="宋体" w:hAnsi="宋体" w:eastAsia="宋体" w:cs="宋体"/>
      <w:color w:val="000000"/>
      <w:sz w:val="20"/>
      <w:szCs w:val="20"/>
      <w:u w:val="none"/>
    </w:rPr>
  </w:style>
  <w:style w:type="character" w:customStyle="1" w:styleId="25">
    <w:name w:val="font81"/>
    <w:basedOn w:val="7"/>
    <w:qFormat/>
    <w:uiPriority w:val="0"/>
    <w:rPr>
      <w:rFonts w:hint="eastAsia" w:ascii="宋体" w:hAnsi="宋体" w:eastAsia="宋体" w:cs="宋体"/>
      <w:color w:val="000000"/>
      <w:sz w:val="18"/>
      <w:szCs w:val="18"/>
      <w:u w:val="none"/>
    </w:rPr>
  </w:style>
  <w:style w:type="character" w:customStyle="1" w:styleId="26">
    <w:name w:val="font12"/>
    <w:basedOn w:val="7"/>
    <w:qFormat/>
    <w:uiPriority w:val="0"/>
    <w:rPr>
      <w:rFonts w:hint="eastAsia" w:ascii="宋体" w:hAnsi="宋体" w:eastAsia="宋体" w:cs="宋体"/>
      <w:color w:val="000000"/>
      <w:sz w:val="24"/>
      <w:szCs w:val="24"/>
      <w:u w:val="none"/>
    </w:rPr>
  </w:style>
  <w:style w:type="character" w:customStyle="1" w:styleId="27">
    <w:name w:val="font51"/>
    <w:basedOn w:val="7"/>
    <w:qFormat/>
    <w:uiPriority w:val="0"/>
    <w:rPr>
      <w:rFonts w:hint="eastAsia" w:ascii="宋体" w:hAnsi="宋体" w:eastAsia="宋体" w:cs="宋体"/>
      <w:color w:val="000000"/>
      <w:sz w:val="20"/>
      <w:szCs w:val="20"/>
      <w:u w:val="single"/>
    </w:rPr>
  </w:style>
  <w:style w:type="character" w:customStyle="1" w:styleId="28">
    <w:name w:val="font181"/>
    <w:basedOn w:val="7"/>
    <w:qFormat/>
    <w:uiPriority w:val="0"/>
    <w:rPr>
      <w:rFonts w:hint="default" w:ascii="Calibri" w:hAnsi="Calibri" w:cs="Calibri"/>
      <w:b/>
      <w:color w:val="000000"/>
      <w:sz w:val="20"/>
      <w:szCs w:val="20"/>
      <w:u w:val="none"/>
    </w:rPr>
  </w:style>
  <w:style w:type="character" w:customStyle="1" w:styleId="29">
    <w:name w:val="font91"/>
    <w:basedOn w:val="7"/>
    <w:qFormat/>
    <w:uiPriority w:val="0"/>
    <w:rPr>
      <w:rFonts w:hint="eastAsia" w:ascii="宋体" w:hAnsi="宋体" w:eastAsia="宋体" w:cs="宋体"/>
      <w:b/>
      <w:color w:val="000000"/>
      <w:sz w:val="20"/>
      <w:szCs w:val="20"/>
      <w:u w:val="none"/>
    </w:rPr>
  </w:style>
  <w:style w:type="character" w:customStyle="1" w:styleId="30">
    <w:name w:val="font151"/>
    <w:basedOn w:val="7"/>
    <w:qFormat/>
    <w:uiPriority w:val="0"/>
    <w:rPr>
      <w:rFonts w:hint="eastAsia" w:ascii="宋体" w:hAnsi="宋体" w:eastAsia="宋体" w:cs="宋体"/>
      <w:color w:val="000000"/>
      <w:sz w:val="20"/>
      <w:szCs w:val="20"/>
      <w:u w:val="none"/>
    </w:rPr>
  </w:style>
  <w:style w:type="character" w:customStyle="1" w:styleId="31">
    <w:name w:val="font12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12</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2018-08-13T06:16:00Z</dcterms:created>
  <dc:creator>天马行空</dc:creator>
  <cp:lastModifiedBy>农交中心2818821</cp:lastModifiedBy>
  <cp:lastPrinted>2018-09-12T05:37:00Z</cp:lastPrinted>
  <dcterms:modified xsi:type="dcterms:W3CDTF">2018-10-10T02:02:34Z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